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Times New Roman" w:cs="Times New Roman" w:eastAsia="Times New Roman" w:hAnsi="Times New Roman"/>
          <w:sz w:val="18"/>
          <w:szCs w:val="18"/>
          <w:b w:val="1"/>
          <w:bCs w:val="1"/>
          <w:color w:val="auto"/>
        </w:rPr>
        <w:t>UNITED STATES</w:t>
      </w:r>
    </w:p>
    <w:p>
      <w:pPr>
        <w:spacing w:after="0" w:line="31"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203"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b w:val="1"/>
          <w:bCs w:val="1"/>
          <w:color w:val="auto"/>
        </w:rPr>
        <w:t>SCHEDULE 14A</w:t>
      </w:r>
    </w:p>
    <w:p>
      <w:pPr>
        <w:spacing w:after="0" w:line="22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Proxy Statement Pursuant to Section 14(a) of the Securities Exchange Act of 1934</w:t>
      </w:r>
    </w:p>
    <w:p>
      <w:pPr>
        <w:spacing w:after="0" w:line="27" w:lineRule="exact"/>
        <w:rPr>
          <w:sz w:val="24"/>
          <w:szCs w:val="24"/>
          <w:color w:val="auto"/>
        </w:rPr>
      </w:pPr>
    </w:p>
    <w:p>
      <w:pPr>
        <w:ind w:left="4720"/>
        <w:spacing w:after="0"/>
        <w:tabs>
          <w:tab w:leader="none" w:pos="6460" w:val="left"/>
        </w:tabs>
        <w:rPr>
          <w:sz w:val="20"/>
          <w:szCs w:val="20"/>
          <w:color w:val="auto"/>
        </w:rPr>
      </w:pPr>
      <w:r>
        <w:rPr>
          <w:rFonts w:ascii="Times New Roman" w:cs="Times New Roman" w:eastAsia="Times New Roman" w:hAnsi="Times New Roman"/>
          <w:sz w:val="18"/>
          <w:szCs w:val="18"/>
          <w:color w:val="auto"/>
        </w:rPr>
        <w:t>(Amendment No.</w:t>
      </w:r>
      <w:r>
        <w:rPr>
          <w:sz w:val="20"/>
          <w:szCs w:val="20"/>
          <w:color w:val="auto"/>
        </w:rPr>
        <w:tab/>
      </w:r>
      <w:r>
        <w:rPr>
          <w:rFonts w:ascii="Times New Roman" w:cs="Times New Roman" w:eastAsia="Times New Roman" w:hAnsi="Times New Roman"/>
          <w:sz w:val="18"/>
          <w:szCs w:val="18"/>
          <w:color w:val="auto"/>
        </w:rPr>
        <w:t>)</w:t>
      </w:r>
    </w:p>
    <w:p>
      <w:pPr>
        <w:spacing w:after="0" w:line="200" w:lineRule="exact"/>
        <w:rPr>
          <w:sz w:val="24"/>
          <w:szCs w:val="24"/>
          <w:color w:val="auto"/>
        </w:rPr>
      </w:pPr>
    </w:p>
    <w:p>
      <w:pPr>
        <w:spacing w:after="0" w:line="223"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 xml:space="preserve">Filed by the Registrant </w:t>
      </w:r>
      <w:r>
        <w:rPr>
          <w:rFonts w:ascii="Wingdings" w:cs="Wingdings" w:eastAsia="Wingdings" w:hAnsi="Wingdings"/>
          <w:sz w:val="18"/>
          <w:szCs w:val="18"/>
          <w:b w:val="1"/>
          <w:bCs w:val="1"/>
          <w:color w:val="auto"/>
        </w:rPr>
        <w:t>x</w:t>
      </w:r>
    </w:p>
    <w:p>
      <w:pPr>
        <w:spacing w:after="0" w:line="22" w:lineRule="exact"/>
        <w:rPr>
          <w:sz w:val="24"/>
          <w:szCs w:val="24"/>
          <w:color w:val="auto"/>
        </w:rPr>
      </w:pPr>
    </w:p>
    <w:p>
      <w:pPr>
        <w:spacing w:after="0" w:line="207" w:lineRule="exact"/>
        <w:rPr>
          <w:sz w:val="20"/>
          <w:szCs w:val="20"/>
          <w:color w:val="auto"/>
        </w:rPr>
      </w:pPr>
      <w:r>
        <w:rPr>
          <w:rFonts w:ascii="Times New Roman" w:cs="Times New Roman" w:eastAsia="Times New Roman" w:hAnsi="Times New Roman"/>
          <w:sz w:val="18"/>
          <w:szCs w:val="18"/>
          <w:color w:val="auto"/>
        </w:rPr>
        <w:t xml:space="preserve">Filed by a Party other than the Registrant </w:t>
      </w:r>
      <w:r>
        <w:rPr>
          <w:rFonts w:ascii="MS PGothic" w:cs="MS PGothic" w:eastAsia="MS PGothic" w:hAnsi="MS PGothic"/>
          <w:sz w:val="18"/>
          <w:szCs w:val="18"/>
          <w:color w:val="auto"/>
        </w:rPr>
        <w:t>☐</w:t>
      </w:r>
    </w:p>
    <w:p>
      <w:pPr>
        <w:spacing w:after="0" w:line="212"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Check the appropriate box:</w:t>
      </w:r>
    </w:p>
    <w:p>
      <w:pPr>
        <w:spacing w:after="0" w:line="225" w:lineRule="exact"/>
        <w:rPr>
          <w:sz w:val="24"/>
          <w:szCs w:val="24"/>
          <w:color w:val="auto"/>
        </w:rPr>
      </w:pPr>
    </w:p>
    <w:p>
      <w:pPr>
        <w:spacing w:after="0"/>
        <w:rPr>
          <w:sz w:val="20"/>
          <w:szCs w:val="20"/>
          <w:color w:val="auto"/>
        </w:rPr>
      </w:pPr>
      <w:r>
        <w:rPr>
          <w:rFonts w:ascii="Wingdings" w:cs="Wingdings" w:eastAsia="Wingdings" w:hAnsi="Wingdings"/>
          <w:sz w:val="18"/>
          <w:szCs w:val="18"/>
          <w:b w:val="1"/>
          <w:bCs w:val="1"/>
          <w:color w:val="auto"/>
        </w:rPr>
        <w:t xml:space="preserve">x </w:t>
      </w:r>
      <w:r>
        <w:rPr>
          <w:rFonts w:ascii="Times New Roman" w:cs="Times New Roman" w:eastAsia="Times New Roman" w:hAnsi="Times New Roman"/>
          <w:sz w:val="18"/>
          <w:szCs w:val="18"/>
          <w:color w:val="auto"/>
        </w:rPr>
        <w:t>Preliminary Proxy Statement</w:t>
      </w:r>
    </w:p>
    <w:p>
      <w:pPr>
        <w:spacing w:after="0" w:line="27" w:lineRule="exact"/>
        <w:rPr>
          <w:sz w:val="24"/>
          <w:szCs w:val="24"/>
          <w:color w:val="auto"/>
        </w:rPr>
      </w:pPr>
    </w:p>
    <w:p>
      <w:pPr>
        <w:ind w:left="240" w:hanging="232"/>
        <w:spacing w:after="0"/>
        <w:tabs>
          <w:tab w:leader="none" w:pos="24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b w:val="1"/>
          <w:bCs w:val="1"/>
          <w:color w:val="auto"/>
        </w:rPr>
        <w:t>Confidential, for Use of the Commission Only (as permitted by Rule 14a-6(e)(2))</w:t>
      </w:r>
    </w:p>
    <w:p>
      <w:pPr>
        <w:spacing w:after="0" w:line="9" w:lineRule="exact"/>
        <w:rPr>
          <w:rFonts w:ascii="Wingdings" w:cs="Wingdings" w:eastAsia="Wingdings" w:hAnsi="Wingdings"/>
          <w:sz w:val="18"/>
          <w:szCs w:val="18"/>
          <w:b w:val="1"/>
          <w:bCs w:val="1"/>
          <w:color w:val="auto"/>
        </w:rPr>
      </w:pPr>
    </w:p>
    <w:p>
      <w:pPr>
        <w:ind w:left="240" w:hanging="232"/>
        <w:spacing w:after="0"/>
        <w:tabs>
          <w:tab w:leader="none" w:pos="24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Definitive Proxy Statement</w:t>
      </w:r>
    </w:p>
    <w:p>
      <w:pPr>
        <w:spacing w:after="0" w:line="9" w:lineRule="exact"/>
        <w:rPr>
          <w:rFonts w:ascii="Wingdings" w:cs="Wingdings" w:eastAsia="Wingdings" w:hAnsi="Wingdings"/>
          <w:sz w:val="18"/>
          <w:szCs w:val="18"/>
          <w:b w:val="1"/>
          <w:bCs w:val="1"/>
          <w:color w:val="auto"/>
        </w:rPr>
      </w:pPr>
    </w:p>
    <w:p>
      <w:pPr>
        <w:ind w:left="240" w:hanging="232"/>
        <w:spacing w:after="0"/>
        <w:tabs>
          <w:tab w:leader="none" w:pos="24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Definitive Additional Materials</w:t>
      </w:r>
    </w:p>
    <w:p>
      <w:pPr>
        <w:spacing w:after="0" w:line="9" w:lineRule="exact"/>
        <w:rPr>
          <w:rFonts w:ascii="Wingdings" w:cs="Wingdings" w:eastAsia="Wingdings" w:hAnsi="Wingdings"/>
          <w:sz w:val="18"/>
          <w:szCs w:val="18"/>
          <w:b w:val="1"/>
          <w:bCs w:val="1"/>
          <w:color w:val="auto"/>
        </w:rPr>
      </w:pPr>
    </w:p>
    <w:p>
      <w:pPr>
        <w:ind w:left="240" w:hanging="232"/>
        <w:spacing w:after="0"/>
        <w:tabs>
          <w:tab w:leader="none" w:pos="24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Soliciting Material Pursuant to §240.14a-12</w:t>
      </w:r>
    </w:p>
    <w:p>
      <w:pPr>
        <w:spacing w:after="0" w:line="200" w:lineRule="exact"/>
        <w:rPr>
          <w:sz w:val="24"/>
          <w:szCs w:val="24"/>
          <w:color w:val="auto"/>
        </w:rPr>
      </w:pPr>
    </w:p>
    <w:p>
      <w:pPr>
        <w:spacing w:after="0" w:line="21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2"/>
          <w:szCs w:val="22"/>
          <w:b w:val="1"/>
          <w:bCs w:val="1"/>
          <w:color w:val="auto"/>
        </w:rPr>
        <w:t>CNS Pharmaceuticals, Inc.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1323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13" w:lineRule="exact"/>
        <w:rPr>
          <w:sz w:val="24"/>
          <w:szCs w:val="24"/>
          <w:color w:val="auto"/>
        </w:rPr>
      </w:pPr>
    </w:p>
    <w:p>
      <w:pPr>
        <w:ind w:left="3900"/>
        <w:spacing w:after="0"/>
        <w:rPr>
          <w:sz w:val="20"/>
          <w:szCs w:val="20"/>
          <w:color w:val="auto"/>
        </w:rPr>
      </w:pPr>
      <w:r>
        <w:rPr>
          <w:rFonts w:ascii="Times New Roman" w:cs="Times New Roman" w:eastAsia="Times New Roman" w:hAnsi="Times New Roman"/>
          <w:sz w:val="18"/>
          <w:szCs w:val="18"/>
          <w:color w:val="auto"/>
        </w:rPr>
        <w:t>(Name of Registrant as Specified In Its Charter)</w:t>
      </w:r>
    </w:p>
    <w:p>
      <w:pPr>
        <w:spacing w:after="0" w:line="200" w:lineRule="exact"/>
        <w:rPr>
          <w:sz w:val="24"/>
          <w:szCs w:val="24"/>
          <w:color w:val="auto"/>
        </w:rPr>
      </w:pPr>
    </w:p>
    <w:p>
      <w:pPr>
        <w:spacing w:after="0" w:line="238" w:lineRule="exact"/>
        <w:rPr>
          <w:sz w:val="24"/>
          <w:szCs w:val="24"/>
          <w:color w:val="auto"/>
        </w:rPr>
      </w:pPr>
    </w:p>
    <w:p>
      <w:pPr>
        <w:ind w:left="3020"/>
        <w:spacing w:after="0"/>
        <w:rPr>
          <w:sz w:val="20"/>
          <w:szCs w:val="20"/>
          <w:color w:val="auto"/>
        </w:rPr>
      </w:pPr>
      <w:r>
        <w:rPr>
          <w:rFonts w:ascii="Times New Roman" w:cs="Times New Roman" w:eastAsia="Times New Roman" w:hAnsi="Times New Roman"/>
          <w:sz w:val="18"/>
          <w:szCs w:val="18"/>
          <w:color w:val="auto"/>
        </w:rPr>
        <w:t>(Name of Person(s) Filing Proxy Statement, if other than the Registrant)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-127635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4"/>
          <w:szCs w:val="24"/>
          <w:color w:val="auto"/>
        </w:rPr>
      </w:pPr>
    </w:p>
    <w:p>
      <w:pPr>
        <w:spacing w:after="0" w:line="221"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Payment of Filing Fee (Check the appropriate box):</w:t>
      </w:r>
    </w:p>
    <w:p>
      <w:pPr>
        <w:spacing w:after="0" w:line="225" w:lineRule="exact"/>
        <w:rPr>
          <w:sz w:val="24"/>
          <w:szCs w:val="24"/>
          <w:color w:val="auto"/>
        </w:rPr>
      </w:pPr>
    </w:p>
    <w:p>
      <w:pPr>
        <w:ind w:left="300" w:hanging="292"/>
        <w:spacing w:after="0"/>
        <w:tabs>
          <w:tab w:leader="none" w:pos="300" w:val="left"/>
        </w:tabs>
        <w:numPr>
          <w:ilvl w:val="0"/>
          <w:numId w:val="2"/>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No fee required.</w:t>
      </w:r>
    </w:p>
    <w:p>
      <w:pPr>
        <w:spacing w:after="0" w:line="225" w:lineRule="exact"/>
        <w:rPr>
          <w:sz w:val="24"/>
          <w:szCs w:val="24"/>
          <w:color w:val="auto"/>
        </w:rPr>
      </w:pPr>
    </w:p>
    <w:p>
      <w:pPr>
        <w:ind w:left="260" w:hanging="252"/>
        <w:spacing w:after="0"/>
        <w:tabs>
          <w:tab w:leader="none" w:pos="260" w:val="left"/>
        </w:tabs>
        <w:numPr>
          <w:ilvl w:val="0"/>
          <w:numId w:val="3"/>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Fee paid previously with preliminary materials.</w:t>
      </w:r>
    </w:p>
    <w:p>
      <w:pPr>
        <w:spacing w:after="0" w:line="225" w:lineRule="exact"/>
        <w:rPr>
          <w:rFonts w:ascii="Wingdings" w:cs="Wingdings" w:eastAsia="Wingdings" w:hAnsi="Wingdings"/>
          <w:sz w:val="18"/>
          <w:szCs w:val="18"/>
          <w:b w:val="1"/>
          <w:bCs w:val="1"/>
          <w:color w:val="auto"/>
        </w:rPr>
      </w:pPr>
    </w:p>
    <w:p>
      <w:pPr>
        <w:ind w:left="260" w:hanging="252"/>
        <w:spacing w:after="0"/>
        <w:tabs>
          <w:tab w:leader="none" w:pos="260" w:val="left"/>
        </w:tabs>
        <w:numPr>
          <w:ilvl w:val="0"/>
          <w:numId w:val="3"/>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Fee computed on table in exhibit required by Item 25(b) per Exchange Act Rules 14a-6(i)(1) and 0-11.</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908685</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441" w:right="1440" w:bottom="1440" w:gutter="0" w:footer="0" w:header="0"/>
        </w:sectPr>
      </w:pPr>
    </w:p>
    <w:bookmarkStart w:id="1" w:name="page2"/>
    <w:bookmarkEnd w:id="1"/>
    <w:p>
      <w:pPr>
        <w:jc w:val="center"/>
        <w:spacing w:after="0"/>
        <w:rPr>
          <w:sz w:val="20"/>
          <w:szCs w:val="20"/>
          <w:color w:val="auto"/>
        </w:rPr>
      </w:pPr>
      <w:r>
        <w:rPr>
          <w:rFonts w:ascii="Times New Roman" w:cs="Times New Roman" w:eastAsia="Times New Roman" w:hAnsi="Times New Roman"/>
          <w:sz w:val="18"/>
          <w:szCs w:val="18"/>
          <w:b w:val="1"/>
          <w:bCs w:val="1"/>
          <w:color w:val="auto"/>
        </w:rPr>
        <w:t>CNS Pharmaceuticals,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2100 West Loop South, Suite 900</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Houston, TX 77027</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(800) 946-9185</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To the Stockholders of CNS Pharmaceuticals, Inc.:</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You are cordially invited to attend the Annual Meeting of Stockholders of CNS Pharmaceuticals, Inc. on November 17, 2025. The Annual Meeting will begin at 12:00 P.M. Eastern Standard Time virtually at https://westcoaststocktransfer.com/proxy-CNSP/ where you will be able to listen to the meeting live, submit questions and vote online.</w:t>
      </w:r>
    </w:p>
    <w:p>
      <w:pPr>
        <w:spacing w:after="0" w:line="176" w:lineRule="exact"/>
        <w:rPr>
          <w:sz w:val="20"/>
          <w:szCs w:val="20"/>
          <w:color w:val="auto"/>
        </w:rPr>
      </w:pPr>
    </w:p>
    <w:p>
      <w:pPr>
        <w:jc w:val="both"/>
        <w:ind w:right="20" w:firstLine="648"/>
        <w:spacing w:after="0" w:line="266" w:lineRule="auto"/>
        <w:rPr>
          <w:sz w:val="20"/>
          <w:szCs w:val="20"/>
          <w:color w:val="auto"/>
        </w:rPr>
      </w:pPr>
      <w:r>
        <w:rPr>
          <w:rFonts w:ascii="Times New Roman" w:cs="Times New Roman" w:eastAsia="Times New Roman" w:hAnsi="Times New Roman"/>
          <w:sz w:val="18"/>
          <w:szCs w:val="18"/>
          <w:color w:val="auto"/>
        </w:rPr>
        <w:t>Information regarding each of the matters to be voted on at the Annual Meeting is contained in the attached Proxy Statement and Notice of Annual Meeting of Stockholders. We urge you to read the proxy statement carefully. The proxy statement and proxy card are being mailed to all stockholders of record as of October 10, 2025.</w:t>
      </w:r>
    </w:p>
    <w:p>
      <w:pPr>
        <w:spacing w:after="0" w:line="176"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Because it is important that your shares be voted at the Annual Meeting, we urge you to complete, date and sign the enclosed proxy card and return it as promptly as possible in the accompanying envelope, whether or not you plan to attend. Even after returning your proxy, if you are a stockholder of record and do attend the meeting and wish to vote your shares in person, you still may do so.</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Very truly yours,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CNS Pharmaceuticals, Inc.</w:t>
      </w:r>
    </w:p>
    <w:p>
      <w:pPr>
        <w:spacing w:after="0" w:line="225" w:lineRule="exact"/>
        <w:rPr>
          <w:sz w:val="20"/>
          <w:szCs w:val="20"/>
          <w:color w:val="auto"/>
        </w:rPr>
      </w:pPr>
    </w:p>
    <w:p>
      <w:pPr>
        <w:spacing w:after="0"/>
        <w:tabs>
          <w:tab w:leader="none" w:pos="560" w:val="left"/>
        </w:tabs>
        <w:rPr>
          <w:sz w:val="20"/>
          <w:szCs w:val="20"/>
          <w:color w:val="auto"/>
        </w:rPr>
      </w:pPr>
      <w:r>
        <w:rPr>
          <w:rFonts w:ascii="Times New Roman" w:cs="Times New Roman" w:eastAsia="Times New Roman" w:hAnsi="Times New Roman"/>
          <w:sz w:val="18"/>
          <w:szCs w:val="18"/>
          <w:color w:val="auto"/>
        </w:rPr>
        <w:t>By:</w:t>
      </w:r>
      <w:r>
        <w:rPr>
          <w:sz w:val="20"/>
          <w:szCs w:val="20"/>
          <w:color w:val="auto"/>
        </w:rPr>
        <w:tab/>
      </w:r>
      <w:r>
        <w:rPr>
          <w:rFonts w:ascii="Times New Roman" w:cs="Times New Roman" w:eastAsia="Times New Roman" w:hAnsi="Times New Roman"/>
          <w:sz w:val="18"/>
          <w:szCs w:val="18"/>
          <w:color w:val="auto"/>
        </w:rPr>
        <w:t>/s/ John Climaco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365125</wp:posOffset>
            </wp:positionH>
            <wp:positionV relativeFrom="paragraph">
              <wp:posOffset>17145</wp:posOffset>
            </wp:positionV>
            <wp:extent cx="3000375"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3000375" cy="8255"/>
                    </a:xfrm>
                    <a:prstGeom prst="rect">
                      <a:avLst/>
                    </a:prstGeom>
                    <a:noFill/>
                  </pic:spPr>
                </pic:pic>
              </a:graphicData>
            </a:graphic>
          </wp:anchor>
        </w:drawing>
      </w:r>
    </w:p>
    <w:p>
      <w:pPr>
        <w:spacing w:after="0" w:line="7" w:lineRule="exact"/>
        <w:rPr>
          <w:sz w:val="20"/>
          <w:szCs w:val="20"/>
          <w:color w:val="auto"/>
        </w:rPr>
      </w:pPr>
    </w:p>
    <w:p>
      <w:pPr>
        <w:ind w:left="580"/>
        <w:spacing w:after="0"/>
        <w:rPr>
          <w:sz w:val="20"/>
          <w:szCs w:val="20"/>
          <w:color w:val="auto"/>
        </w:rPr>
      </w:pPr>
      <w:r>
        <w:rPr>
          <w:rFonts w:ascii="Times New Roman" w:cs="Times New Roman" w:eastAsia="Times New Roman" w:hAnsi="Times New Roman"/>
          <w:sz w:val="18"/>
          <w:szCs w:val="18"/>
          <w:color w:val="auto"/>
        </w:rPr>
        <w:t>John Climaco</w:t>
      </w:r>
    </w:p>
    <w:p>
      <w:pPr>
        <w:spacing w:after="0" w:line="23" w:lineRule="exact"/>
        <w:rPr>
          <w:sz w:val="20"/>
          <w:szCs w:val="20"/>
          <w:color w:val="auto"/>
        </w:rPr>
      </w:pPr>
    </w:p>
    <w:p>
      <w:pPr>
        <w:ind w:left="580"/>
        <w:spacing w:after="0"/>
        <w:rPr>
          <w:sz w:val="20"/>
          <w:szCs w:val="20"/>
          <w:color w:val="auto"/>
        </w:rPr>
      </w:pPr>
      <w:r>
        <w:rPr>
          <w:rFonts w:ascii="Times New Roman" w:cs="Times New Roman" w:eastAsia="Times New Roman" w:hAnsi="Times New Roman"/>
          <w:sz w:val="18"/>
          <w:szCs w:val="18"/>
          <w:color w:val="auto"/>
        </w:rPr>
        <w:t>Chief Executive Officer</w:t>
      </w:r>
    </w:p>
    <w:p>
      <w:pPr>
        <w:spacing w:after="0" w:line="20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Important Notice Regarding the Availability of Proxy Materials</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 the Annual Stockholder Meeting to be Held on November 17, 2025:</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Electronic Copies of the Proxy Statement and our 2024 Annual Report on Form 10-K are available at</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http://icomproxy.com/cnsp</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1857375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 w:name="page3"/>
    <w:bookmarkEnd w:id="2"/>
    <w:p>
      <w:pPr>
        <w:jc w:val="center"/>
        <w:spacing w:after="0"/>
        <w:rPr>
          <w:sz w:val="20"/>
          <w:szCs w:val="20"/>
          <w:color w:val="auto"/>
        </w:rPr>
      </w:pPr>
      <w:r>
        <w:rPr>
          <w:rFonts w:ascii="Times New Roman" w:cs="Times New Roman" w:eastAsia="Times New Roman" w:hAnsi="Times New Roman"/>
          <w:sz w:val="18"/>
          <w:szCs w:val="18"/>
          <w:b w:val="1"/>
          <w:bCs w:val="1"/>
          <w:color w:val="auto"/>
        </w:rPr>
        <w:t>CNS Pharmaceuticals,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2100 West Loop South, Suite 900</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Houston, TX 77027</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(800) 946-9185</w:t>
      </w:r>
    </w:p>
    <w:p>
      <w:pPr>
        <w:spacing w:after="0" w:line="20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NOTICE OF ANNUAL MEETING OF STOCKHOLDERS</w:t>
      </w:r>
    </w:p>
    <w:p>
      <w:pPr>
        <w:spacing w:after="0" w:line="225" w:lineRule="exact"/>
        <w:rPr>
          <w:sz w:val="20"/>
          <w:szCs w:val="20"/>
          <w:color w:val="auto"/>
        </w:rPr>
      </w:pPr>
    </w:p>
    <w:p>
      <w:pPr>
        <w:ind w:left="4440"/>
        <w:spacing w:after="0"/>
        <w:rPr>
          <w:sz w:val="20"/>
          <w:szCs w:val="20"/>
          <w:color w:val="auto"/>
        </w:rPr>
      </w:pPr>
      <w:r>
        <w:rPr>
          <w:rFonts w:ascii="Times New Roman" w:cs="Times New Roman" w:eastAsia="Times New Roman" w:hAnsi="Times New Roman"/>
          <w:sz w:val="18"/>
          <w:szCs w:val="18"/>
          <w:b w:val="1"/>
          <w:bCs w:val="1"/>
          <w:color w:val="auto"/>
        </w:rPr>
        <w:t>To Be Held November 17, 2025</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TO THE STOCKHOLDERS OF CNS PHARMACEUTICALS, INC.:</w:t>
      </w:r>
    </w:p>
    <w:p>
      <w:pPr>
        <w:spacing w:after="0" w:line="22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NOTICE IS HEREBY GIVEN that the 2025 Annual Meeting of Stockholders of CNS Pharmaceuticals, Inc. (the “Company”) will be held virtually at https://westcoaststocktransfer.com/proxy-CNSP/, on November 17, 2025 at 12:00 P.M. Eastern Standard Time, for the following purposes, as described in the accompanying Proxy Statement:</w:t>
      </w:r>
    </w:p>
    <w:p>
      <w:pPr>
        <w:spacing w:after="0" w:line="176" w:lineRule="exact"/>
        <w:rPr>
          <w:sz w:val="20"/>
          <w:szCs w:val="20"/>
          <w:color w:val="auto"/>
        </w:rPr>
      </w:pPr>
    </w:p>
    <w:p>
      <w:pPr>
        <w:ind w:left="1300" w:hanging="644"/>
        <w:spacing w:after="0" w:line="282" w:lineRule="auto"/>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elect six Board nominees to the Board of Directors of the Company, each to serve until the 2026 annual meeting of stockholders of the Company or until such person’s successor is qualified and elected.</w:t>
      </w:r>
    </w:p>
    <w:p>
      <w:pPr>
        <w:spacing w:after="0" w:line="161"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ratify the appointment of MaloneBailey, LLP as the Company’s independent registered public accounting firm for the year ending December 31, 2025.</w:t>
      </w:r>
    </w:p>
    <w:p>
      <w:pPr>
        <w:spacing w:after="0" w:line="161"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vote on a non-binding, advisory resolution to approve executive compensation.</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vote on a non-binding, advisory proposal on the frequency of holding future votes regarding executive compensation.</w:t>
      </w:r>
    </w:p>
    <w:p>
      <w:pPr>
        <w:spacing w:after="0" w:line="225" w:lineRule="exact"/>
        <w:rPr>
          <w:rFonts w:ascii="Times New Roman" w:cs="Times New Roman" w:eastAsia="Times New Roman" w:hAnsi="Times New Roman"/>
          <w:sz w:val="18"/>
          <w:szCs w:val="18"/>
          <w:color w:val="auto"/>
        </w:rPr>
      </w:pPr>
    </w:p>
    <w:p>
      <w:pPr>
        <w:jc w:val="both"/>
        <w:ind w:left="1300" w:hanging="644"/>
        <w:spacing w:after="0" w:line="266" w:lineRule="auto"/>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an amendment to the Company’s Amended and Restated Articles of Incorporation to increase the total number of authorized shares of common stock from 25,000,000 shares to 300,000,000 shares and the total number of authorized shares of preferred stock from 416,667 shares to 5,000,000 shares.</w:t>
      </w:r>
    </w:p>
    <w:p>
      <w:pPr>
        <w:spacing w:after="0" w:line="175"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amendments to the Company’s 2020 Stock Plan including an increase in the number of shares of common stock authorized for issuance under the Company’s 2020 Stock Plan.</w:t>
      </w:r>
    </w:p>
    <w:p>
      <w:pPr>
        <w:spacing w:after="0" w:line="161"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authorize the adjournment of the Annual Meeting, if necessary, to solicit additional proxies if there are not sufficient votes at the time of the Annual Meeting or adjournment or postponement thereof to approve any of the above proposals.</w:t>
      </w:r>
    </w:p>
    <w:p>
      <w:pPr>
        <w:spacing w:after="0" w:line="162"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Only stockholders of record of the Company at the close of business on October 10, 2025, are entitled to notice of and to vote at the Annual Meeting or any adjournment or postponement thereof. You will be able to listen to the meeting live, submit questions and vote online at the virtual Annual Meeting. A complete list of these stockholders will be open for the examination of any stockholder of record at the Company’s principal executive offices located at 2100 West Loop South, Suite 900, Houston, TX 77027 for a period of ten days prior to the Annual Meeting. The Annual Meeting may be adjourned or postponed from time to time without notice other than by announcement at the meeting.</w:t>
      </w:r>
    </w:p>
    <w:p>
      <w:pPr>
        <w:spacing w:after="0" w:line="179"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color w:val="auto"/>
        </w:rPr>
        <w:t>WHETHER OR NOT YOU PLAN TO ATTEND THE MEETING, PLEASE SIGN AND DATE THE ENCLOSED PROXY AND RETURN IT IN THE ENVELOPE PROVIDED.</w:t>
      </w:r>
    </w:p>
    <w:p>
      <w:pPr>
        <w:spacing w:after="0" w:line="15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80" w:type="dxa"/>
            <w:vAlign w:val="bottom"/>
          </w:tcPr>
          <w:p>
            <w:pPr>
              <w:spacing w:after="0"/>
              <w:rPr>
                <w:sz w:val="20"/>
                <w:szCs w:val="20"/>
                <w:color w:val="auto"/>
              </w:rPr>
            </w:pPr>
          </w:p>
        </w:tc>
        <w:tc>
          <w:tcPr>
            <w:tcW w:w="6160" w:type="dxa"/>
            <w:vAlign w:val="bottom"/>
          </w:tcPr>
          <w:p>
            <w:pPr>
              <w:spacing w:after="0"/>
              <w:rPr>
                <w:sz w:val="20"/>
                <w:szCs w:val="20"/>
                <w:color w:val="auto"/>
              </w:rPr>
            </w:pPr>
            <w:r>
              <w:rPr>
                <w:rFonts w:ascii="Times New Roman" w:cs="Times New Roman" w:eastAsia="Times New Roman" w:hAnsi="Times New Roman"/>
                <w:sz w:val="18"/>
                <w:szCs w:val="18"/>
                <w:color w:val="auto"/>
              </w:rPr>
              <w:t>By Order of the Board of Directors,</w:t>
            </w:r>
          </w:p>
        </w:tc>
        <w:tc>
          <w:tcPr>
            <w:tcW w:w="0" w:type="dxa"/>
            <w:vAlign w:val="bottom"/>
          </w:tcPr>
          <w:p>
            <w:pPr>
              <w:spacing w:after="0"/>
              <w:rPr>
                <w:sz w:val="1"/>
                <w:szCs w:val="1"/>
                <w:color w:val="auto"/>
              </w:rPr>
            </w:pPr>
          </w:p>
        </w:tc>
      </w:tr>
      <w:tr>
        <w:trPr>
          <w:trHeight w:val="432"/>
        </w:trPr>
        <w:tc>
          <w:tcPr>
            <w:tcW w:w="5080" w:type="dxa"/>
            <w:vAlign w:val="bottom"/>
          </w:tcPr>
          <w:p>
            <w:pPr>
              <w:spacing w:after="0"/>
              <w:rPr>
                <w:sz w:val="24"/>
                <w:szCs w:val="24"/>
                <w:color w:val="auto"/>
              </w:rPr>
            </w:pPr>
          </w:p>
        </w:tc>
        <w:tc>
          <w:tcPr>
            <w:tcW w:w="6160" w:type="dxa"/>
            <w:vAlign w:val="bottom"/>
          </w:tcPr>
          <w:p>
            <w:pPr>
              <w:spacing w:after="0"/>
              <w:rPr>
                <w:sz w:val="20"/>
                <w:szCs w:val="20"/>
                <w:color w:val="auto"/>
              </w:rPr>
            </w:pPr>
            <w:r>
              <w:rPr>
                <w:rFonts w:ascii="Times New Roman" w:cs="Times New Roman" w:eastAsia="Times New Roman" w:hAnsi="Times New Roman"/>
                <w:sz w:val="18"/>
                <w:szCs w:val="18"/>
                <w:color w:val="auto"/>
              </w:rPr>
              <w:t>CNS PHARMACEUTICALS, INC.</w:t>
            </w:r>
          </w:p>
        </w:tc>
        <w:tc>
          <w:tcPr>
            <w:tcW w:w="0" w:type="dxa"/>
            <w:vAlign w:val="bottom"/>
          </w:tcPr>
          <w:p>
            <w:pPr>
              <w:spacing w:after="0"/>
              <w:rPr>
                <w:sz w:val="1"/>
                <w:szCs w:val="1"/>
                <w:color w:val="auto"/>
              </w:rPr>
            </w:pPr>
          </w:p>
        </w:tc>
      </w:tr>
      <w:tr>
        <w:trPr>
          <w:trHeight w:val="432"/>
        </w:trPr>
        <w:tc>
          <w:tcPr>
            <w:tcW w:w="5080" w:type="dxa"/>
            <w:vAlign w:val="bottom"/>
            <w:vMerge w:val="restart"/>
          </w:tcPr>
          <w:p>
            <w:pPr>
              <w:spacing w:after="0"/>
              <w:rPr>
                <w:sz w:val="20"/>
                <w:szCs w:val="20"/>
                <w:color w:val="auto"/>
              </w:rPr>
            </w:pPr>
            <w:r>
              <w:rPr>
                <w:rFonts w:ascii="Times New Roman" w:cs="Times New Roman" w:eastAsia="Times New Roman" w:hAnsi="Times New Roman"/>
                <w:sz w:val="18"/>
                <w:szCs w:val="18"/>
                <w:color w:val="auto"/>
              </w:rPr>
              <w:t>Houston, Texas</w:t>
            </w:r>
          </w:p>
        </w:tc>
        <w:tc>
          <w:tcPr>
            <w:tcW w:w="616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color w:val="auto"/>
              </w:rPr>
              <w:t>/s/ John Climaco</w:t>
            </w:r>
          </w:p>
        </w:tc>
        <w:tc>
          <w:tcPr>
            <w:tcW w:w="0" w:type="dxa"/>
            <w:vAlign w:val="bottom"/>
          </w:tcPr>
          <w:p>
            <w:pPr>
              <w:spacing w:after="0"/>
              <w:rPr>
                <w:sz w:val="1"/>
                <w:szCs w:val="1"/>
                <w:color w:val="auto"/>
              </w:rPr>
            </w:pPr>
          </w:p>
        </w:tc>
      </w:tr>
      <w:tr>
        <w:trPr>
          <w:trHeight w:val="191"/>
        </w:trPr>
        <w:tc>
          <w:tcPr>
            <w:tcW w:w="5080" w:type="dxa"/>
            <w:vAlign w:val="bottom"/>
            <w:vMerge w:val="continue"/>
          </w:tcPr>
          <w:p>
            <w:pPr>
              <w:spacing w:after="0"/>
              <w:rPr>
                <w:sz w:val="16"/>
                <w:szCs w:val="16"/>
                <w:color w:val="auto"/>
              </w:rPr>
            </w:pPr>
          </w:p>
        </w:tc>
        <w:tc>
          <w:tcPr>
            <w:tcW w:w="6160" w:type="dxa"/>
            <w:vAlign w:val="bottom"/>
          </w:tcPr>
          <w:p>
            <w:pPr>
              <w:spacing w:after="0" w:line="191" w:lineRule="exact"/>
              <w:rPr>
                <w:sz w:val="20"/>
                <w:szCs w:val="20"/>
                <w:color w:val="auto"/>
              </w:rPr>
            </w:pPr>
            <w:r>
              <w:rPr>
                <w:rFonts w:ascii="Times New Roman" w:cs="Times New Roman" w:eastAsia="Times New Roman" w:hAnsi="Times New Roman"/>
                <w:sz w:val="18"/>
                <w:szCs w:val="18"/>
                <w:color w:val="auto"/>
              </w:rPr>
              <w:t>John Climaco</w:t>
            </w:r>
          </w:p>
        </w:tc>
        <w:tc>
          <w:tcPr>
            <w:tcW w:w="0" w:type="dxa"/>
            <w:vAlign w:val="bottom"/>
          </w:tcPr>
          <w:p>
            <w:pPr>
              <w:spacing w:after="0"/>
              <w:rPr>
                <w:sz w:val="1"/>
                <w:szCs w:val="1"/>
                <w:color w:val="auto"/>
              </w:rPr>
            </w:pPr>
          </w:p>
        </w:tc>
      </w:tr>
      <w:tr>
        <w:trPr>
          <w:trHeight w:val="234"/>
        </w:trPr>
        <w:tc>
          <w:tcPr>
            <w:tcW w:w="5080" w:type="dxa"/>
            <w:vAlign w:val="bottom"/>
          </w:tcPr>
          <w:p>
            <w:pPr>
              <w:spacing w:after="0"/>
              <w:rPr>
                <w:sz w:val="20"/>
                <w:szCs w:val="20"/>
                <w:color w:val="auto"/>
              </w:rPr>
            </w:pPr>
            <w:r>
              <w:rPr>
                <w:rFonts w:ascii="Times New Roman" w:cs="Times New Roman" w:eastAsia="Times New Roman" w:hAnsi="Times New Roman"/>
                <w:sz w:val="18"/>
                <w:szCs w:val="18"/>
                <w:color w:val="auto"/>
              </w:rPr>
              <w:t>October 20, 2025</w:t>
            </w:r>
          </w:p>
        </w:tc>
        <w:tc>
          <w:tcPr>
            <w:tcW w:w="6160" w:type="dxa"/>
            <w:vAlign w:val="bottom"/>
          </w:tcPr>
          <w:p>
            <w:pPr>
              <w:spacing w:after="0"/>
              <w:rPr>
                <w:sz w:val="20"/>
                <w:szCs w:val="20"/>
                <w:color w:val="auto"/>
              </w:rPr>
            </w:pPr>
            <w:r>
              <w:rPr>
                <w:rFonts w:ascii="Times New Roman" w:cs="Times New Roman" w:eastAsia="Times New Roman" w:hAnsi="Times New Roman"/>
                <w:sz w:val="18"/>
                <w:szCs w:val="18"/>
                <w:color w:val="auto"/>
              </w:rPr>
              <w:t>Chief Executive Officer</w:t>
            </w:r>
          </w:p>
        </w:tc>
        <w:tc>
          <w:tcPr>
            <w:tcW w:w="0" w:type="dxa"/>
            <w:vAlign w:val="bottom"/>
          </w:tcPr>
          <w:p>
            <w:pPr>
              <w:spacing w:after="0"/>
              <w:rPr>
                <w:sz w:val="1"/>
                <w:szCs w:val="1"/>
                <w:color w:val="auto"/>
              </w:rPr>
            </w:pPr>
          </w:p>
        </w:tc>
      </w:tr>
      <w:tr>
        <w:trPr>
          <w:trHeight w:val="972"/>
        </w:trPr>
        <w:tc>
          <w:tcPr>
            <w:tcW w:w="5080" w:type="dxa"/>
            <w:vAlign w:val="bottom"/>
            <w:tcBorders>
              <w:bottom w:val="single" w:sz="8" w:color="auto"/>
            </w:tcBorders>
          </w:tcPr>
          <w:p>
            <w:pPr>
              <w:spacing w:after="0"/>
              <w:rPr>
                <w:sz w:val="24"/>
                <w:szCs w:val="24"/>
                <w:color w:val="auto"/>
              </w:rPr>
            </w:pPr>
          </w:p>
        </w:tc>
        <w:tc>
          <w:tcPr>
            <w:tcW w:w="61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792" w:right="339" w:bottom="1440" w:gutter="0" w:footer="0" w:header="0"/>
        </w:sectPr>
      </w:pPr>
    </w:p>
    <w:bookmarkStart w:id="3" w:name="page4"/>
    <w:bookmarkEnd w:id="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180" w:type="dxa"/>
            <w:vAlign w:val="bottom"/>
          </w:tcPr>
          <w:p>
            <w:pPr>
              <w:spacing w:after="0"/>
              <w:rPr>
                <w:sz w:val="20"/>
                <w:szCs w:val="20"/>
                <w:color w:val="auto"/>
              </w:rPr>
            </w:pPr>
          </w:p>
        </w:tc>
        <w:tc>
          <w:tcPr>
            <w:tcW w:w="22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220" w:type="dxa"/>
            <w:vAlign w:val="bottom"/>
            <w:gridSpan w:val="17"/>
          </w:tcPr>
          <w:p>
            <w:pPr>
              <w:ind w:left="80"/>
              <w:spacing w:after="0"/>
              <w:rPr>
                <w:sz w:val="20"/>
                <w:szCs w:val="20"/>
                <w:color w:val="auto"/>
              </w:rPr>
            </w:pPr>
            <w:r>
              <w:rPr>
                <w:rFonts w:ascii="Times New Roman" w:cs="Times New Roman" w:eastAsia="Times New Roman" w:hAnsi="Times New Roman"/>
                <w:sz w:val="18"/>
                <w:szCs w:val="18"/>
                <w:b w:val="1"/>
                <w:bCs w:val="1"/>
                <w:color w:val="auto"/>
              </w:rPr>
              <w:t>TABLE OF CONTENTS</w:t>
            </w:r>
          </w:p>
        </w:tc>
        <w:tc>
          <w:tcPr>
            <w:tcW w:w="3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180" w:type="dxa"/>
            <w:vAlign w:val="bottom"/>
          </w:tcPr>
          <w:p>
            <w:pPr>
              <w:spacing w:after="0"/>
              <w:rPr>
                <w:sz w:val="24"/>
                <w:szCs w:val="24"/>
                <w:color w:val="auto"/>
              </w:rPr>
            </w:pPr>
          </w:p>
        </w:tc>
        <w:tc>
          <w:tcPr>
            <w:tcW w:w="22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154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b w:val="1"/>
                <w:bCs w:val="1"/>
                <w:color w:val="auto"/>
                <w:w w:val="97"/>
              </w:rPr>
              <w:t>Page</w:t>
            </w:r>
          </w:p>
        </w:tc>
        <w:tc>
          <w:tcPr>
            <w:tcW w:w="0" w:type="dxa"/>
            <w:vAlign w:val="bottom"/>
          </w:tcPr>
          <w:p>
            <w:pPr>
              <w:spacing w:after="0"/>
              <w:rPr>
                <w:sz w:val="1"/>
                <w:szCs w:val="1"/>
                <w:color w:val="auto"/>
              </w:rPr>
            </w:pPr>
          </w:p>
        </w:tc>
      </w:tr>
      <w:tr>
        <w:trPr>
          <w:trHeight w:val="209"/>
        </w:trPr>
        <w:tc>
          <w:tcPr>
            <w:tcW w:w="180" w:type="dxa"/>
            <w:vAlign w:val="bottom"/>
          </w:tcPr>
          <w:p>
            <w:pPr>
              <w:spacing w:after="0"/>
              <w:rPr>
                <w:sz w:val="18"/>
                <w:szCs w:val="18"/>
                <w:color w:val="auto"/>
              </w:rPr>
            </w:pPr>
          </w:p>
        </w:tc>
        <w:tc>
          <w:tcPr>
            <w:tcW w:w="22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5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80" w:type="dxa"/>
            <w:vAlign w:val="bottom"/>
            <w:tcBorders>
              <w:top w:val="single" w:sz="8" w:color="auto"/>
            </w:tcBorders>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5380" w:type="dxa"/>
            <w:vAlign w:val="bottom"/>
            <w:tcBorders>
              <w:bottom w:val="single" w:sz="8" w:color="0000EE"/>
            </w:tcBorders>
            <w:gridSpan w:val="21"/>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w w:val="99"/>
              </w:rPr>
              <w:t>INFORMATION ABOUT THE ANNUAL MEETING AND VOTING</w:t>
            </w:r>
          </w:p>
        </w:tc>
        <w:tc>
          <w:tcPr>
            <w:tcW w:w="5480" w:type="dxa"/>
            <w:vAlign w:val="bottom"/>
            <w:tcBorders>
              <w:bottom w:val="single" w:sz="8" w:color="EEEEEE"/>
            </w:tcBorders>
            <w:gridSpan w:val="13"/>
            <w:shd w:val="clear" w:color="auto" w:fill="EEEEEE"/>
          </w:tcPr>
          <w:p>
            <w:pPr>
              <w:spacing w:after="0"/>
              <w:rPr>
                <w:sz w:val="17"/>
                <w:szCs w:val="17"/>
                <w:color w:val="auto"/>
              </w:rPr>
            </w:pPr>
          </w:p>
        </w:tc>
        <w:tc>
          <w:tcPr>
            <w:tcW w:w="380" w:type="dxa"/>
            <w:vAlign w:val="bottom"/>
            <w:tcBorders>
              <w:bottom w:val="single" w:sz="8" w:color="EEEEEE"/>
            </w:tcBorders>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1</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WHY DID YOU SEND ME THIS PROXY STATEMENT?</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1</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WHAT PROPOSALS WILL BE ADDRESSED AT THE ANNUAL MEETING?</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1</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5"/>
        </w:trPr>
        <w:tc>
          <w:tcPr>
            <w:tcW w:w="6160" w:type="dxa"/>
            <w:vAlign w:val="bottom"/>
            <w:tcBorders>
              <w:top w:val="single" w:sz="8" w:color="0000EE"/>
            </w:tcBorders>
            <w:gridSpan w:val="25"/>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WHO MAY VOTE ON THESE PROPOSALS?</w:t>
            </w:r>
          </w:p>
        </w:tc>
        <w:tc>
          <w:tcPr>
            <w:tcW w:w="4700" w:type="dxa"/>
            <w:vAlign w:val="bottom"/>
            <w:tcBorders>
              <w:top w:val="single" w:sz="8" w:color="EEEEEE"/>
            </w:tcBorders>
            <w:gridSpan w:val="9"/>
          </w:tcPr>
          <w:p>
            <w:pPr>
              <w:spacing w:after="0"/>
              <w:rPr>
                <w:sz w:val="15"/>
                <w:szCs w:val="15"/>
                <w:color w:val="auto"/>
              </w:rPr>
            </w:pPr>
          </w:p>
        </w:tc>
        <w:tc>
          <w:tcPr>
            <w:tcW w:w="380" w:type="dxa"/>
            <w:vAlign w:val="bottom"/>
            <w:tcBorders>
              <w:top w:val="single" w:sz="8" w:color="EEEEEE"/>
            </w:tcBorders>
          </w:tcPr>
          <w:p>
            <w:pPr>
              <w:jc w:val="right"/>
              <w:spacing w:after="0" w:line="176" w:lineRule="exact"/>
              <w:rPr>
                <w:sz w:val="20"/>
                <w:szCs w:val="20"/>
                <w:color w:val="auto"/>
              </w:rPr>
            </w:pPr>
            <w:r>
              <w:rPr>
                <w:rFonts w:ascii="Times New Roman" w:cs="Times New Roman" w:eastAsia="Times New Roman" w:hAnsi="Times New Roman"/>
                <w:sz w:val="18"/>
                <w:szCs w:val="18"/>
                <w:color w:val="auto"/>
              </w:rPr>
              <w:t>2</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HOW MANY VOTES DO I HAVE?</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2</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360" w:type="dxa"/>
            <w:vAlign w:val="bottom"/>
            <w:tcBorders>
              <w:top w:val="single" w:sz="8" w:color="EEEEEE"/>
            </w:tcBorders>
            <w:shd w:val="clear" w:color="auto" w:fill="EEEEEE"/>
          </w:tcPr>
          <w:p>
            <w:pPr>
              <w:spacing w:after="0" w:line="20" w:lineRule="exact"/>
              <w:rPr>
                <w:sz w:val="1"/>
                <w:szCs w:val="1"/>
                <w:color w:val="auto"/>
              </w:rPr>
            </w:pPr>
          </w:p>
        </w:tc>
        <w:tc>
          <w:tcPr>
            <w:tcW w:w="2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4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14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640" w:type="dxa"/>
            <w:vAlign w:val="bottom"/>
            <w:tcBorders>
              <w:top w:val="single" w:sz="8" w:color="EEEEEE"/>
            </w:tcBorders>
            <w:shd w:val="clear" w:color="auto" w:fill="EEEEEE"/>
          </w:tcPr>
          <w:p>
            <w:pPr>
              <w:spacing w:after="0" w:line="20" w:lineRule="exact"/>
              <w:rPr>
                <w:sz w:val="1"/>
                <w:szCs w:val="1"/>
                <w:color w:val="auto"/>
              </w:rPr>
            </w:pPr>
          </w:p>
        </w:tc>
        <w:tc>
          <w:tcPr>
            <w:tcW w:w="1100" w:type="dxa"/>
            <w:vAlign w:val="bottom"/>
            <w:tcBorders>
              <w:top w:val="single" w:sz="8" w:color="EEEEEE"/>
            </w:tcBorders>
            <w:shd w:val="clear" w:color="auto" w:fill="EEEEEE"/>
          </w:tcPr>
          <w:p>
            <w:pPr>
              <w:spacing w:after="0" w:line="20" w:lineRule="exact"/>
              <w:rPr>
                <w:sz w:val="1"/>
                <w:szCs w:val="1"/>
                <w:color w:val="auto"/>
              </w:rPr>
            </w:pPr>
          </w:p>
        </w:tc>
        <w:tc>
          <w:tcPr>
            <w:tcW w:w="154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WHY WOULD THE ANNUAL MEETING BE POSTPONED?</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2</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HOW DO I VOTE WITHOUT ATTENDING THE MEETING?</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3</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360" w:type="dxa"/>
            <w:vAlign w:val="bottom"/>
            <w:tcBorders>
              <w:top w:val="single" w:sz="8" w:color="0000EE"/>
            </w:tcBorders>
            <w:shd w:val="clear" w:color="auto" w:fill="EEEEEE"/>
          </w:tcPr>
          <w:p>
            <w:pPr>
              <w:spacing w:after="0" w:line="20" w:lineRule="exact"/>
              <w:rPr>
                <w:sz w:val="1"/>
                <w:szCs w:val="1"/>
                <w:color w:val="auto"/>
              </w:rPr>
            </w:pPr>
          </w:p>
        </w:tc>
        <w:tc>
          <w:tcPr>
            <w:tcW w:w="22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14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640" w:type="dxa"/>
            <w:vAlign w:val="bottom"/>
            <w:tcBorders>
              <w:top w:val="single" w:sz="8" w:color="EEEEEE"/>
            </w:tcBorders>
            <w:shd w:val="clear" w:color="auto" w:fill="EEEEEE"/>
          </w:tcPr>
          <w:p>
            <w:pPr>
              <w:spacing w:after="0" w:line="20" w:lineRule="exact"/>
              <w:rPr>
                <w:sz w:val="1"/>
                <w:szCs w:val="1"/>
                <w:color w:val="auto"/>
              </w:rPr>
            </w:pPr>
          </w:p>
        </w:tc>
        <w:tc>
          <w:tcPr>
            <w:tcW w:w="1100" w:type="dxa"/>
            <w:vAlign w:val="bottom"/>
            <w:tcBorders>
              <w:top w:val="single" w:sz="8" w:color="EEEEEE"/>
            </w:tcBorders>
            <w:shd w:val="clear" w:color="auto" w:fill="EEEEEE"/>
          </w:tcPr>
          <w:p>
            <w:pPr>
              <w:spacing w:after="0" w:line="20" w:lineRule="exact"/>
              <w:rPr>
                <w:sz w:val="1"/>
                <w:szCs w:val="1"/>
                <w:color w:val="auto"/>
              </w:rPr>
            </w:pPr>
          </w:p>
        </w:tc>
        <w:tc>
          <w:tcPr>
            <w:tcW w:w="154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HOW CAN I VOTE MY SHARES IN PERSON AND PARTICIPATE AT THE ANNUAL MEETING?</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4</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520" w:type="dxa"/>
            <w:vAlign w:val="bottom"/>
            <w:tcBorders>
              <w:top w:val="single" w:sz="8" w:color="0000EE"/>
            </w:tcBorders>
          </w:tcPr>
          <w:p>
            <w:pPr>
              <w:spacing w:after="0" w:line="20" w:lineRule="exact"/>
              <w:rPr>
                <w:sz w:val="1"/>
                <w:szCs w:val="1"/>
                <w:color w:val="auto"/>
              </w:rPr>
            </w:pPr>
          </w:p>
        </w:tc>
        <w:tc>
          <w:tcPr>
            <w:tcW w:w="640" w:type="dxa"/>
            <w:vAlign w:val="bottom"/>
            <w:tcBorders>
              <w:top w:val="single" w:sz="8" w:color="0000EE"/>
            </w:tcBorders>
          </w:tcPr>
          <w:p>
            <w:pPr>
              <w:spacing w:after="0" w:line="20" w:lineRule="exact"/>
              <w:rPr>
                <w:sz w:val="1"/>
                <w:szCs w:val="1"/>
                <w:color w:val="auto"/>
              </w:rPr>
            </w:pPr>
          </w:p>
        </w:tc>
        <w:tc>
          <w:tcPr>
            <w:tcW w:w="1100" w:type="dxa"/>
            <w:vAlign w:val="bottom"/>
            <w:tcBorders>
              <w:top w:val="single" w:sz="8" w:color="0000EE"/>
            </w:tcBorders>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480" w:type="dxa"/>
            <w:vAlign w:val="bottom"/>
            <w:tcBorders>
              <w:bottom w:val="single" w:sz="8" w:color="0000EE"/>
            </w:tcBorders>
            <w:gridSpan w:val="3"/>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w w:val="98"/>
              </w:rPr>
              <w:t>MAY I REVOKE MY PROXY?</w:t>
            </w:r>
          </w:p>
        </w:tc>
        <w:tc>
          <w:tcPr>
            <w:tcW w:w="8380" w:type="dxa"/>
            <w:vAlign w:val="bottom"/>
            <w:tcBorders>
              <w:bottom w:val="single" w:sz="8" w:color="EEEEEE"/>
            </w:tcBorders>
            <w:gridSpan w:val="31"/>
            <w:shd w:val="clear" w:color="auto" w:fill="EEEEEE"/>
          </w:tcPr>
          <w:p>
            <w:pPr>
              <w:spacing w:after="0"/>
              <w:rPr>
                <w:sz w:val="17"/>
                <w:szCs w:val="17"/>
                <w:color w:val="auto"/>
              </w:rPr>
            </w:pPr>
          </w:p>
        </w:tc>
        <w:tc>
          <w:tcPr>
            <w:tcW w:w="380" w:type="dxa"/>
            <w:vAlign w:val="bottom"/>
            <w:tcBorders>
              <w:bottom w:val="single" w:sz="8" w:color="EEEEEE"/>
            </w:tcBorders>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4</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5"/>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WHAT VOTE IS REQUIRED TO APPROVE EACH PROPOSAL?</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4</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ARE THERE ANY RIGHTS OF APPRAISAL?</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5</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360" w:type="dxa"/>
            <w:vAlign w:val="bottom"/>
            <w:tcBorders>
              <w:top w:val="single" w:sz="8" w:color="0000EE"/>
            </w:tcBorders>
            <w:shd w:val="clear" w:color="auto" w:fill="EEEEEE"/>
          </w:tcPr>
          <w:p>
            <w:pPr>
              <w:spacing w:after="0" w:line="20" w:lineRule="exact"/>
              <w:rPr>
                <w:sz w:val="1"/>
                <w:szCs w:val="1"/>
                <w:color w:val="auto"/>
              </w:rPr>
            </w:pPr>
          </w:p>
        </w:tc>
        <w:tc>
          <w:tcPr>
            <w:tcW w:w="22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14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640" w:type="dxa"/>
            <w:vAlign w:val="bottom"/>
            <w:tcBorders>
              <w:top w:val="single" w:sz="8" w:color="EEEEEE"/>
            </w:tcBorders>
            <w:shd w:val="clear" w:color="auto" w:fill="EEEEEE"/>
          </w:tcPr>
          <w:p>
            <w:pPr>
              <w:spacing w:after="0" w:line="20" w:lineRule="exact"/>
              <w:rPr>
                <w:sz w:val="1"/>
                <w:szCs w:val="1"/>
                <w:color w:val="auto"/>
              </w:rPr>
            </w:pPr>
          </w:p>
        </w:tc>
        <w:tc>
          <w:tcPr>
            <w:tcW w:w="1100" w:type="dxa"/>
            <w:vAlign w:val="bottom"/>
            <w:tcBorders>
              <w:top w:val="single" w:sz="8" w:color="EEEEEE"/>
            </w:tcBorders>
            <w:shd w:val="clear" w:color="auto" w:fill="EEEEEE"/>
          </w:tcPr>
          <w:p>
            <w:pPr>
              <w:spacing w:after="0" w:line="20" w:lineRule="exact"/>
              <w:rPr>
                <w:sz w:val="1"/>
                <w:szCs w:val="1"/>
                <w:color w:val="auto"/>
              </w:rPr>
            </w:pPr>
          </w:p>
        </w:tc>
        <w:tc>
          <w:tcPr>
            <w:tcW w:w="154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WHO BEARS THE COST OF SOLICITING PROXIES?</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5</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WHERE ARE CNS’ PRINCIPAL EXECUTIVE OFFICES?</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5</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360" w:type="dxa"/>
            <w:vAlign w:val="bottom"/>
            <w:tcBorders>
              <w:top w:val="single" w:sz="8" w:color="0000EE"/>
            </w:tcBorders>
            <w:shd w:val="clear" w:color="auto" w:fill="EEEEEE"/>
          </w:tcPr>
          <w:p>
            <w:pPr>
              <w:spacing w:after="0" w:line="20" w:lineRule="exact"/>
              <w:rPr>
                <w:sz w:val="1"/>
                <w:szCs w:val="1"/>
                <w:color w:val="auto"/>
              </w:rPr>
            </w:pPr>
          </w:p>
        </w:tc>
        <w:tc>
          <w:tcPr>
            <w:tcW w:w="22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14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640" w:type="dxa"/>
            <w:vAlign w:val="bottom"/>
            <w:tcBorders>
              <w:top w:val="single" w:sz="8" w:color="EEEEEE"/>
            </w:tcBorders>
            <w:shd w:val="clear" w:color="auto" w:fill="EEEEEE"/>
          </w:tcPr>
          <w:p>
            <w:pPr>
              <w:spacing w:after="0" w:line="20" w:lineRule="exact"/>
              <w:rPr>
                <w:sz w:val="1"/>
                <w:szCs w:val="1"/>
                <w:color w:val="auto"/>
              </w:rPr>
            </w:pPr>
          </w:p>
        </w:tc>
        <w:tc>
          <w:tcPr>
            <w:tcW w:w="1100" w:type="dxa"/>
            <w:vAlign w:val="bottom"/>
            <w:tcBorders>
              <w:top w:val="single" w:sz="8" w:color="EEEEEE"/>
            </w:tcBorders>
            <w:shd w:val="clear" w:color="auto" w:fill="EEEEEE"/>
          </w:tcPr>
          <w:p>
            <w:pPr>
              <w:spacing w:after="0" w:line="20" w:lineRule="exact"/>
              <w:rPr>
                <w:sz w:val="1"/>
                <w:szCs w:val="1"/>
                <w:color w:val="auto"/>
              </w:rPr>
            </w:pPr>
          </w:p>
        </w:tc>
        <w:tc>
          <w:tcPr>
            <w:tcW w:w="154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HOW CAN I OBTAIN ADDITIONAL INFORMATION ABOUT CNS?</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5</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6800" w:type="dxa"/>
            <w:vAlign w:val="bottom"/>
            <w:tcBorders>
              <w:bottom w:val="single" w:sz="8" w:color="0000EE"/>
            </w:tcBorders>
            <w:gridSpan w:val="26"/>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w w:val="99"/>
              </w:rPr>
              <w:t>STOCK OWNERSHIP OF CERTAIN BENEFICIAL OWNERS AND MANAGEMENT</w:t>
            </w:r>
          </w:p>
        </w:tc>
        <w:tc>
          <w:tcPr>
            <w:tcW w:w="4060" w:type="dxa"/>
            <w:vAlign w:val="bottom"/>
            <w:tcBorders>
              <w:bottom w:val="single" w:sz="8" w:color="EEEEEE"/>
            </w:tcBorders>
            <w:gridSpan w:val="8"/>
            <w:shd w:val="clear" w:color="auto" w:fill="EEEEEE"/>
          </w:tcPr>
          <w:p>
            <w:pPr>
              <w:spacing w:after="0"/>
              <w:rPr>
                <w:sz w:val="17"/>
                <w:szCs w:val="17"/>
                <w:color w:val="auto"/>
              </w:rPr>
            </w:pPr>
          </w:p>
        </w:tc>
        <w:tc>
          <w:tcPr>
            <w:tcW w:w="380" w:type="dxa"/>
            <w:vAlign w:val="bottom"/>
            <w:tcBorders>
              <w:bottom w:val="single" w:sz="8" w:color="EEEEEE"/>
            </w:tcBorders>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6</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INFORMATION ABOUT DIRECTORS AND EXECUTIVE OFFICERS</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7</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000" w:type="dxa"/>
            <w:vAlign w:val="bottom"/>
            <w:tcBorders>
              <w:bottom w:val="single" w:sz="8" w:color="0000EE"/>
            </w:tcBorders>
            <w:gridSpan w:val="7"/>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w w:val="99"/>
              </w:rPr>
              <w:t>GOVERNANCE OF THE COMPANY</w:t>
            </w:r>
          </w:p>
        </w:tc>
        <w:tc>
          <w:tcPr>
            <w:tcW w:w="7860" w:type="dxa"/>
            <w:vAlign w:val="bottom"/>
            <w:tcBorders>
              <w:bottom w:val="single" w:sz="8" w:color="EEEEEE"/>
            </w:tcBorders>
            <w:gridSpan w:val="27"/>
            <w:shd w:val="clear" w:color="auto" w:fill="EEEEEE"/>
          </w:tcPr>
          <w:p>
            <w:pPr>
              <w:spacing w:after="0"/>
              <w:rPr>
                <w:sz w:val="17"/>
                <w:szCs w:val="17"/>
                <w:color w:val="auto"/>
              </w:rPr>
            </w:pPr>
          </w:p>
        </w:tc>
        <w:tc>
          <w:tcPr>
            <w:tcW w:w="380" w:type="dxa"/>
            <w:vAlign w:val="bottom"/>
            <w:tcBorders>
              <w:bottom w:val="single" w:sz="8" w:color="EEEEEE"/>
            </w:tcBorders>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10</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COMPENSATION OF DIRECTORS AND EXECUTIVE OFFICERS</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14</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RELATED PARTY TRANSACTIONS</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20</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360" w:type="dxa"/>
            <w:vAlign w:val="bottom"/>
            <w:tcBorders>
              <w:top w:val="single" w:sz="8" w:color="EEEEEE"/>
            </w:tcBorders>
            <w:shd w:val="clear" w:color="auto" w:fill="EEEEEE"/>
          </w:tcPr>
          <w:p>
            <w:pPr>
              <w:spacing w:after="0" w:line="20" w:lineRule="exact"/>
              <w:rPr>
                <w:sz w:val="1"/>
                <w:szCs w:val="1"/>
                <w:color w:val="auto"/>
              </w:rPr>
            </w:pPr>
          </w:p>
        </w:tc>
        <w:tc>
          <w:tcPr>
            <w:tcW w:w="2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4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14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640" w:type="dxa"/>
            <w:vAlign w:val="bottom"/>
            <w:tcBorders>
              <w:top w:val="single" w:sz="8" w:color="EEEEEE"/>
            </w:tcBorders>
            <w:shd w:val="clear" w:color="auto" w:fill="EEEEEE"/>
          </w:tcPr>
          <w:p>
            <w:pPr>
              <w:spacing w:after="0" w:line="20" w:lineRule="exact"/>
              <w:rPr>
                <w:sz w:val="1"/>
                <w:szCs w:val="1"/>
                <w:color w:val="auto"/>
              </w:rPr>
            </w:pPr>
          </w:p>
        </w:tc>
        <w:tc>
          <w:tcPr>
            <w:tcW w:w="1100" w:type="dxa"/>
            <w:vAlign w:val="bottom"/>
            <w:tcBorders>
              <w:top w:val="single" w:sz="8" w:color="EEEEEE"/>
            </w:tcBorders>
            <w:shd w:val="clear" w:color="auto" w:fill="EEEEEE"/>
          </w:tcPr>
          <w:p>
            <w:pPr>
              <w:spacing w:after="0" w:line="20" w:lineRule="exact"/>
              <w:rPr>
                <w:sz w:val="1"/>
                <w:szCs w:val="1"/>
                <w:color w:val="auto"/>
              </w:rPr>
            </w:pPr>
          </w:p>
        </w:tc>
        <w:tc>
          <w:tcPr>
            <w:tcW w:w="154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1: ELECTION OF DIRECTORS</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21</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2: TO RATIFY THE APPOINTMENT OF INDEPENDENT REGISTERED PUBLIC ACCOUNTING FIRM</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22</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180" w:type="dxa"/>
            <w:vAlign w:val="bottom"/>
            <w:tcBorders>
              <w:top w:val="single" w:sz="8" w:color="0000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360" w:type="dxa"/>
            <w:vAlign w:val="bottom"/>
            <w:tcBorders>
              <w:top w:val="single" w:sz="8" w:color="0000EE"/>
            </w:tcBorders>
            <w:shd w:val="clear" w:color="auto" w:fill="EEEEEE"/>
          </w:tcPr>
          <w:p>
            <w:pPr>
              <w:spacing w:after="0" w:line="20" w:lineRule="exact"/>
              <w:rPr>
                <w:sz w:val="1"/>
                <w:szCs w:val="1"/>
                <w:color w:val="auto"/>
              </w:rPr>
            </w:pPr>
          </w:p>
        </w:tc>
        <w:tc>
          <w:tcPr>
            <w:tcW w:w="22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0000EE"/>
            </w:tcBorders>
            <w:shd w:val="clear" w:color="auto" w:fill="EEEEEE"/>
          </w:tcPr>
          <w:p>
            <w:pPr>
              <w:spacing w:after="0" w:line="20" w:lineRule="exact"/>
              <w:rPr>
                <w:sz w:val="1"/>
                <w:szCs w:val="1"/>
                <w:color w:val="auto"/>
              </w:rPr>
            </w:pPr>
          </w:p>
        </w:tc>
        <w:tc>
          <w:tcPr>
            <w:tcW w:w="14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120" w:type="dxa"/>
            <w:vAlign w:val="bottom"/>
            <w:tcBorders>
              <w:top w:val="single" w:sz="8" w:color="0000EE"/>
            </w:tcBorders>
            <w:shd w:val="clear" w:color="auto" w:fill="EEEEEE"/>
          </w:tcPr>
          <w:p>
            <w:pPr>
              <w:spacing w:after="0" w:line="20" w:lineRule="exact"/>
              <w:rPr>
                <w:sz w:val="1"/>
                <w:szCs w:val="1"/>
                <w:color w:val="auto"/>
              </w:rPr>
            </w:pPr>
          </w:p>
        </w:tc>
        <w:tc>
          <w:tcPr>
            <w:tcW w:w="120" w:type="dxa"/>
            <w:vAlign w:val="bottom"/>
            <w:tcBorders>
              <w:top w:val="single" w:sz="8" w:color="0000EE"/>
            </w:tcBorders>
            <w:shd w:val="clear" w:color="auto" w:fill="EEEEEE"/>
          </w:tcPr>
          <w:p>
            <w:pPr>
              <w:spacing w:after="0" w:line="20" w:lineRule="exact"/>
              <w:rPr>
                <w:sz w:val="1"/>
                <w:szCs w:val="1"/>
                <w:color w:val="auto"/>
              </w:rPr>
            </w:pPr>
          </w:p>
        </w:tc>
        <w:tc>
          <w:tcPr>
            <w:tcW w:w="520" w:type="dxa"/>
            <w:vAlign w:val="bottom"/>
            <w:tcBorders>
              <w:top w:val="single" w:sz="8" w:color="0000EE"/>
            </w:tcBorders>
            <w:shd w:val="clear" w:color="auto" w:fill="EEEEEE"/>
          </w:tcPr>
          <w:p>
            <w:pPr>
              <w:spacing w:after="0" w:line="20" w:lineRule="exact"/>
              <w:rPr>
                <w:sz w:val="1"/>
                <w:szCs w:val="1"/>
                <w:color w:val="auto"/>
              </w:rPr>
            </w:pPr>
          </w:p>
        </w:tc>
        <w:tc>
          <w:tcPr>
            <w:tcW w:w="640" w:type="dxa"/>
            <w:vAlign w:val="bottom"/>
            <w:tcBorders>
              <w:top w:val="single" w:sz="8" w:color="0000EE"/>
            </w:tcBorders>
            <w:shd w:val="clear" w:color="auto" w:fill="EEEEEE"/>
          </w:tcPr>
          <w:p>
            <w:pPr>
              <w:spacing w:after="0" w:line="20" w:lineRule="exact"/>
              <w:rPr>
                <w:sz w:val="1"/>
                <w:szCs w:val="1"/>
                <w:color w:val="auto"/>
              </w:rPr>
            </w:pPr>
          </w:p>
        </w:tc>
        <w:tc>
          <w:tcPr>
            <w:tcW w:w="1100" w:type="dxa"/>
            <w:vAlign w:val="bottom"/>
            <w:tcBorders>
              <w:top w:val="single" w:sz="8" w:color="0000EE"/>
            </w:tcBorders>
            <w:shd w:val="clear" w:color="auto" w:fill="EEEEEE"/>
          </w:tcPr>
          <w:p>
            <w:pPr>
              <w:spacing w:after="0" w:line="20" w:lineRule="exact"/>
              <w:rPr>
                <w:sz w:val="1"/>
                <w:szCs w:val="1"/>
                <w:color w:val="auto"/>
              </w:rPr>
            </w:pPr>
          </w:p>
        </w:tc>
        <w:tc>
          <w:tcPr>
            <w:tcW w:w="1540" w:type="dxa"/>
            <w:vAlign w:val="bottom"/>
            <w:tcBorders>
              <w:top w:val="single" w:sz="8" w:color="0000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3: TO VOTE ON A NON-BINDING, ADVISORY RESOLUTION TO APPROVE EXECUTIVE COMPENSATION</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23</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520" w:type="dxa"/>
            <w:vAlign w:val="bottom"/>
            <w:tcBorders>
              <w:top w:val="single" w:sz="8" w:color="0000EE"/>
            </w:tcBorders>
          </w:tcPr>
          <w:p>
            <w:pPr>
              <w:spacing w:after="0" w:line="20" w:lineRule="exact"/>
              <w:rPr>
                <w:sz w:val="1"/>
                <w:szCs w:val="1"/>
                <w:color w:val="auto"/>
              </w:rPr>
            </w:pPr>
          </w:p>
        </w:tc>
        <w:tc>
          <w:tcPr>
            <w:tcW w:w="640" w:type="dxa"/>
            <w:vAlign w:val="bottom"/>
            <w:tcBorders>
              <w:top w:val="single" w:sz="8" w:color="0000EE"/>
            </w:tcBorders>
          </w:tcPr>
          <w:p>
            <w:pPr>
              <w:spacing w:after="0" w:line="20" w:lineRule="exact"/>
              <w:rPr>
                <w:sz w:val="1"/>
                <w:szCs w:val="1"/>
                <w:color w:val="auto"/>
              </w:rPr>
            </w:pPr>
          </w:p>
        </w:tc>
        <w:tc>
          <w:tcPr>
            <w:tcW w:w="1100" w:type="dxa"/>
            <w:vAlign w:val="bottom"/>
            <w:tcBorders>
              <w:top w:val="single" w:sz="8" w:color="0000EE"/>
            </w:tcBorders>
          </w:tcPr>
          <w:p>
            <w:pPr>
              <w:spacing w:after="0" w:line="20" w:lineRule="exact"/>
              <w:rPr>
                <w:sz w:val="1"/>
                <w:szCs w:val="1"/>
                <w:color w:val="auto"/>
              </w:rPr>
            </w:pPr>
          </w:p>
        </w:tc>
        <w:tc>
          <w:tcPr>
            <w:tcW w:w="1540" w:type="dxa"/>
            <w:vAlign w:val="bottom"/>
            <w:tcBorders>
              <w:top w:val="single" w:sz="8" w:color="0000EE"/>
            </w:tcBorders>
          </w:tcPr>
          <w:p>
            <w:pPr>
              <w:spacing w:after="0" w:line="20" w:lineRule="exact"/>
              <w:rPr>
                <w:sz w:val="1"/>
                <w:szCs w:val="1"/>
                <w:color w:val="auto"/>
              </w:rPr>
            </w:pPr>
          </w:p>
        </w:tc>
        <w:tc>
          <w:tcPr>
            <w:tcW w:w="520" w:type="dxa"/>
            <w:vAlign w:val="bottom"/>
            <w:tcBorders>
              <w:top w:val="single" w:sz="8" w:color="0000EE"/>
            </w:tcBorders>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4: TO VOTE ON A NON-BINDING, ADVISORY PROPOSAL ON THE FREQUENCY OF HOLDING FUTURE VOTES</w:t>
            </w:r>
          </w:p>
        </w:tc>
        <w:tc>
          <w:tcPr>
            <w:tcW w:w="380" w:type="dxa"/>
            <w:vAlign w:val="bottom"/>
            <w:shd w:val="clear" w:color="auto" w:fill="EEEEEE"/>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6"/>
        </w:trPr>
        <w:tc>
          <w:tcPr>
            <w:tcW w:w="180" w:type="dxa"/>
            <w:vAlign w:val="bottom"/>
            <w:tcBorders>
              <w:top w:val="single" w:sz="8" w:color="0000EE"/>
            </w:tcBorders>
            <w:shd w:val="clear" w:color="auto" w:fill="EEEEEE"/>
          </w:tcPr>
          <w:p>
            <w:pPr>
              <w:spacing w:after="0"/>
              <w:rPr>
                <w:sz w:val="17"/>
                <w:szCs w:val="17"/>
                <w:color w:val="auto"/>
              </w:rPr>
            </w:pPr>
          </w:p>
        </w:tc>
        <w:tc>
          <w:tcPr>
            <w:tcW w:w="10560" w:type="dxa"/>
            <w:vAlign w:val="bottom"/>
            <w:tcBorders>
              <w:top w:val="single" w:sz="8" w:color="0000EE"/>
            </w:tcBorders>
            <w:gridSpan w:val="30"/>
            <w:shd w:val="clear" w:color="auto" w:fill="EEEEEE"/>
          </w:tcPr>
          <w:p>
            <w:pPr>
              <w:spacing w:after="0" w:line="196" w:lineRule="exact"/>
              <w:rPr>
                <w:sz w:val="20"/>
                <w:szCs w:val="20"/>
                <w:color w:val="auto"/>
              </w:rPr>
            </w:pPr>
            <w:r>
              <w:rPr>
                <w:rFonts w:ascii="Times New Roman" w:cs="Times New Roman" w:eastAsia="Times New Roman" w:hAnsi="Times New Roman"/>
                <w:sz w:val="18"/>
                <w:szCs w:val="18"/>
                <w:b w:val="1"/>
                <w:bCs w:val="1"/>
                <w:color w:val="0000EE"/>
              </w:rPr>
              <w:t>REGARDING EXECUTIVE COMPENSATION</w:t>
            </w:r>
          </w:p>
        </w:tc>
        <w:tc>
          <w:tcPr>
            <w:tcW w:w="120" w:type="dxa"/>
            <w:vAlign w:val="bottom"/>
            <w:tcBorders>
              <w:top w:val="single" w:sz="8" w:color="EEEEEE"/>
            </w:tcBorders>
            <w:gridSpan w:val="3"/>
            <w:shd w:val="clear" w:color="auto" w:fill="EEEEEE"/>
          </w:tcPr>
          <w:p>
            <w:pPr>
              <w:spacing w:after="0"/>
              <w:rPr>
                <w:sz w:val="17"/>
                <w:szCs w:val="17"/>
                <w:color w:val="auto"/>
              </w:rPr>
            </w:pPr>
          </w:p>
        </w:tc>
        <w:tc>
          <w:tcPr>
            <w:tcW w:w="380" w:type="dxa"/>
            <w:vAlign w:val="bottom"/>
            <w:tcBorders>
              <w:top w:val="single" w:sz="8" w:color="EEEEEE"/>
            </w:tcBorders>
            <w:shd w:val="clear" w:color="auto" w:fill="EEEEEE"/>
          </w:tcPr>
          <w:p>
            <w:pPr>
              <w:jc w:val="right"/>
              <w:spacing w:after="0" w:line="196" w:lineRule="exact"/>
              <w:rPr>
                <w:sz w:val="20"/>
                <w:szCs w:val="20"/>
                <w:color w:val="auto"/>
              </w:rPr>
            </w:pPr>
            <w:r>
              <w:rPr>
                <w:rFonts w:ascii="Times New Roman" w:cs="Times New Roman" w:eastAsia="Times New Roman" w:hAnsi="Times New Roman"/>
                <w:sz w:val="18"/>
                <w:szCs w:val="18"/>
                <w:color w:val="auto"/>
              </w:rPr>
              <w:t>24</w:t>
            </w: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EEEE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360" w:type="dxa"/>
            <w:vAlign w:val="bottom"/>
            <w:tcBorders>
              <w:top w:val="single" w:sz="8" w:color="0000EE"/>
            </w:tcBorders>
            <w:shd w:val="clear" w:color="auto" w:fill="EEEEEE"/>
          </w:tcPr>
          <w:p>
            <w:pPr>
              <w:spacing w:after="0" w:line="20" w:lineRule="exact"/>
              <w:rPr>
                <w:sz w:val="1"/>
                <w:szCs w:val="1"/>
                <w:color w:val="auto"/>
              </w:rPr>
            </w:pPr>
          </w:p>
        </w:tc>
        <w:tc>
          <w:tcPr>
            <w:tcW w:w="22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14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640" w:type="dxa"/>
            <w:vAlign w:val="bottom"/>
            <w:tcBorders>
              <w:top w:val="single" w:sz="8" w:color="EEEEEE"/>
            </w:tcBorders>
            <w:shd w:val="clear" w:color="auto" w:fill="EEEEEE"/>
          </w:tcPr>
          <w:p>
            <w:pPr>
              <w:spacing w:after="0" w:line="20" w:lineRule="exact"/>
              <w:rPr>
                <w:sz w:val="1"/>
                <w:szCs w:val="1"/>
                <w:color w:val="auto"/>
              </w:rPr>
            </w:pPr>
          </w:p>
        </w:tc>
        <w:tc>
          <w:tcPr>
            <w:tcW w:w="1100" w:type="dxa"/>
            <w:vAlign w:val="bottom"/>
            <w:tcBorders>
              <w:top w:val="single" w:sz="8" w:color="EEEEEE"/>
            </w:tcBorders>
            <w:shd w:val="clear" w:color="auto" w:fill="EEEEEE"/>
          </w:tcPr>
          <w:p>
            <w:pPr>
              <w:spacing w:after="0" w:line="20" w:lineRule="exact"/>
              <w:rPr>
                <w:sz w:val="1"/>
                <w:szCs w:val="1"/>
                <w:color w:val="auto"/>
              </w:rPr>
            </w:pPr>
          </w:p>
        </w:tc>
        <w:tc>
          <w:tcPr>
            <w:tcW w:w="154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5:  TO  APPROVE  AN  AMENDMENT  TO  THE  COMPANY’S  AMENDED  AND  RESTATED  ARTICLES  OF</w:t>
            </w:r>
          </w:p>
        </w:tc>
        <w:tc>
          <w:tcPr>
            <w:tcW w:w="3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shd w:val="clear" w:color="auto" w:fill="0000EE"/>
          </w:tcPr>
          <w:p>
            <w:pPr>
              <w:spacing w:after="0" w:line="20" w:lineRule="exact"/>
              <w:rPr>
                <w:sz w:val="1"/>
                <w:szCs w:val="1"/>
                <w:color w:val="auto"/>
              </w:rPr>
            </w:pPr>
          </w:p>
        </w:tc>
        <w:tc>
          <w:tcPr>
            <w:tcW w:w="2260" w:type="dxa"/>
            <w:vAlign w:val="bottom"/>
            <w:shd w:val="clear" w:color="auto" w:fill="0000EE"/>
          </w:tcPr>
          <w:p>
            <w:pPr>
              <w:spacing w:after="0" w:line="20" w:lineRule="exact"/>
              <w:rPr>
                <w:sz w:val="1"/>
                <w:szCs w:val="1"/>
                <w:color w:val="auto"/>
              </w:rPr>
            </w:pPr>
          </w:p>
        </w:tc>
        <w:tc>
          <w:tcPr>
            <w:tcW w:w="140" w:type="dxa"/>
            <w:vAlign w:val="bottom"/>
            <w:gridSpan w:val="2"/>
            <w:shd w:val="clear" w:color="auto" w:fill="0000EE"/>
          </w:tcPr>
          <w:p>
            <w:pPr>
              <w:spacing w:after="0" w:line="20" w:lineRule="exact"/>
              <w:rPr>
                <w:sz w:val="1"/>
                <w:szCs w:val="1"/>
                <w:color w:val="auto"/>
              </w:rPr>
            </w:pPr>
          </w:p>
        </w:tc>
        <w:tc>
          <w:tcPr>
            <w:tcW w:w="780" w:type="dxa"/>
            <w:vAlign w:val="bottom"/>
            <w:gridSpan w:val="4"/>
            <w:shd w:val="clear" w:color="auto" w:fill="0000EE"/>
          </w:tcPr>
          <w:p>
            <w:pPr>
              <w:spacing w:after="0" w:line="20" w:lineRule="exact"/>
              <w:rPr>
                <w:sz w:val="1"/>
                <w:szCs w:val="1"/>
                <w:color w:val="auto"/>
              </w:rPr>
            </w:pPr>
          </w:p>
        </w:tc>
        <w:tc>
          <w:tcPr>
            <w:tcW w:w="240" w:type="dxa"/>
            <w:vAlign w:val="bottom"/>
            <w:gridSpan w:val="2"/>
            <w:shd w:val="clear" w:color="auto" w:fill="0000EE"/>
          </w:tcPr>
          <w:p>
            <w:pPr>
              <w:spacing w:after="0" w:line="20" w:lineRule="exact"/>
              <w:rPr>
                <w:sz w:val="1"/>
                <w:szCs w:val="1"/>
                <w:color w:val="auto"/>
              </w:rPr>
            </w:pPr>
          </w:p>
        </w:tc>
        <w:tc>
          <w:tcPr>
            <w:tcW w:w="640" w:type="dxa"/>
            <w:vAlign w:val="bottom"/>
            <w:gridSpan w:val="4"/>
            <w:shd w:val="clear" w:color="auto" w:fill="0000EE"/>
          </w:tcPr>
          <w:p>
            <w:pPr>
              <w:spacing w:after="0" w:line="20" w:lineRule="exact"/>
              <w:rPr>
                <w:sz w:val="1"/>
                <w:szCs w:val="1"/>
                <w:color w:val="auto"/>
              </w:rPr>
            </w:pPr>
          </w:p>
        </w:tc>
        <w:tc>
          <w:tcPr>
            <w:tcW w:w="300" w:type="dxa"/>
            <w:vAlign w:val="bottom"/>
            <w:gridSpan w:val="2"/>
            <w:shd w:val="clear" w:color="auto" w:fill="0000EE"/>
          </w:tcPr>
          <w:p>
            <w:pPr>
              <w:spacing w:after="0" w:line="20" w:lineRule="exact"/>
              <w:rPr>
                <w:sz w:val="1"/>
                <w:szCs w:val="1"/>
                <w:color w:val="auto"/>
              </w:rPr>
            </w:pPr>
          </w:p>
        </w:tc>
        <w:tc>
          <w:tcPr>
            <w:tcW w:w="2260" w:type="dxa"/>
            <w:vAlign w:val="bottom"/>
            <w:gridSpan w:val="10"/>
            <w:shd w:val="clear" w:color="auto" w:fill="0000EE"/>
          </w:tcPr>
          <w:p>
            <w:pPr>
              <w:spacing w:after="0" w:line="20" w:lineRule="exact"/>
              <w:rPr>
                <w:sz w:val="1"/>
                <w:szCs w:val="1"/>
                <w:color w:val="auto"/>
              </w:rPr>
            </w:pPr>
          </w:p>
        </w:tc>
        <w:tc>
          <w:tcPr>
            <w:tcW w:w="3640" w:type="dxa"/>
            <w:vAlign w:val="bottom"/>
            <w:gridSpan w:val="4"/>
            <w:shd w:val="clear" w:color="auto" w:fill="0000EE"/>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180" w:type="dxa"/>
            <w:vAlign w:val="bottom"/>
          </w:tcPr>
          <w:p>
            <w:pPr>
              <w:spacing w:after="0"/>
              <w:rPr>
                <w:sz w:val="17"/>
                <w:szCs w:val="17"/>
                <w:color w:val="auto"/>
              </w:rPr>
            </w:pPr>
          </w:p>
        </w:tc>
        <w:tc>
          <w:tcPr>
            <w:tcW w:w="10680" w:type="dxa"/>
            <w:vAlign w:val="bottom"/>
            <w:gridSpan w:val="33"/>
          </w:tcPr>
          <w:p>
            <w:pPr>
              <w:spacing w:after="0" w:line="196" w:lineRule="exact"/>
              <w:rPr>
                <w:sz w:val="20"/>
                <w:szCs w:val="20"/>
                <w:color w:val="auto"/>
              </w:rPr>
            </w:pPr>
            <w:r>
              <w:rPr>
                <w:rFonts w:ascii="Times New Roman" w:cs="Times New Roman" w:eastAsia="Times New Roman" w:hAnsi="Times New Roman"/>
                <w:sz w:val="18"/>
                <w:szCs w:val="18"/>
                <w:b w:val="1"/>
                <w:bCs w:val="1"/>
                <w:color w:val="0000EE"/>
              </w:rPr>
              <w:t>INCORPORATION TO INCREASE THE TOTAL NUMBER OF AUTHORIZED SHARES OF COMMON STOCK FROM 25,000,000</w:t>
            </w:r>
          </w:p>
        </w:tc>
        <w:tc>
          <w:tcPr>
            <w:tcW w:w="3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180" w:type="dxa"/>
            <w:vAlign w:val="bottom"/>
          </w:tcPr>
          <w:p>
            <w:pPr>
              <w:spacing w:after="0" w:line="20" w:lineRule="exact"/>
              <w:rPr>
                <w:sz w:val="1"/>
                <w:szCs w:val="1"/>
                <w:color w:val="auto"/>
              </w:rPr>
            </w:pPr>
          </w:p>
        </w:tc>
        <w:tc>
          <w:tcPr>
            <w:tcW w:w="2260" w:type="dxa"/>
            <w:vAlign w:val="bottom"/>
            <w:shd w:val="clear" w:color="auto" w:fill="0000EE"/>
          </w:tcPr>
          <w:p>
            <w:pPr>
              <w:spacing w:after="0" w:line="20" w:lineRule="exact"/>
              <w:rPr>
                <w:sz w:val="1"/>
                <w:szCs w:val="1"/>
                <w:color w:val="auto"/>
              </w:rPr>
            </w:pPr>
          </w:p>
        </w:tc>
        <w:tc>
          <w:tcPr>
            <w:tcW w:w="140" w:type="dxa"/>
            <w:vAlign w:val="bottom"/>
            <w:gridSpan w:val="2"/>
            <w:shd w:val="clear" w:color="auto" w:fill="0000EE"/>
          </w:tcPr>
          <w:p>
            <w:pPr>
              <w:spacing w:after="0" w:line="20" w:lineRule="exact"/>
              <w:rPr>
                <w:sz w:val="1"/>
                <w:szCs w:val="1"/>
                <w:color w:val="auto"/>
              </w:rPr>
            </w:pPr>
          </w:p>
        </w:tc>
        <w:tc>
          <w:tcPr>
            <w:tcW w:w="780" w:type="dxa"/>
            <w:vAlign w:val="bottom"/>
            <w:gridSpan w:val="4"/>
            <w:shd w:val="clear" w:color="auto" w:fill="0000EE"/>
          </w:tcPr>
          <w:p>
            <w:pPr>
              <w:spacing w:after="0" w:line="20" w:lineRule="exact"/>
              <w:rPr>
                <w:sz w:val="1"/>
                <w:szCs w:val="1"/>
                <w:color w:val="auto"/>
              </w:rPr>
            </w:pPr>
          </w:p>
        </w:tc>
        <w:tc>
          <w:tcPr>
            <w:tcW w:w="240" w:type="dxa"/>
            <w:vAlign w:val="bottom"/>
            <w:gridSpan w:val="2"/>
            <w:shd w:val="clear" w:color="auto" w:fill="0000EE"/>
          </w:tcPr>
          <w:p>
            <w:pPr>
              <w:spacing w:after="0" w:line="20" w:lineRule="exact"/>
              <w:rPr>
                <w:sz w:val="1"/>
                <w:szCs w:val="1"/>
                <w:color w:val="auto"/>
              </w:rPr>
            </w:pPr>
          </w:p>
        </w:tc>
        <w:tc>
          <w:tcPr>
            <w:tcW w:w="640" w:type="dxa"/>
            <w:vAlign w:val="bottom"/>
            <w:gridSpan w:val="4"/>
            <w:shd w:val="clear" w:color="auto" w:fill="0000EE"/>
          </w:tcPr>
          <w:p>
            <w:pPr>
              <w:spacing w:after="0" w:line="20" w:lineRule="exact"/>
              <w:rPr>
                <w:sz w:val="1"/>
                <w:szCs w:val="1"/>
                <w:color w:val="auto"/>
              </w:rPr>
            </w:pPr>
          </w:p>
        </w:tc>
        <w:tc>
          <w:tcPr>
            <w:tcW w:w="300" w:type="dxa"/>
            <w:vAlign w:val="bottom"/>
            <w:gridSpan w:val="2"/>
            <w:shd w:val="clear" w:color="auto" w:fill="0000EE"/>
          </w:tcPr>
          <w:p>
            <w:pPr>
              <w:spacing w:after="0" w:line="20" w:lineRule="exact"/>
              <w:rPr>
                <w:sz w:val="1"/>
                <w:szCs w:val="1"/>
                <w:color w:val="auto"/>
              </w:rPr>
            </w:pPr>
          </w:p>
        </w:tc>
        <w:tc>
          <w:tcPr>
            <w:tcW w:w="2260" w:type="dxa"/>
            <w:vAlign w:val="bottom"/>
            <w:gridSpan w:val="10"/>
            <w:shd w:val="clear" w:color="auto" w:fill="0000EE"/>
          </w:tcPr>
          <w:p>
            <w:pPr>
              <w:spacing w:after="0" w:line="20" w:lineRule="exact"/>
              <w:rPr>
                <w:sz w:val="1"/>
                <w:szCs w:val="1"/>
                <w:color w:val="auto"/>
              </w:rPr>
            </w:pPr>
          </w:p>
        </w:tc>
        <w:tc>
          <w:tcPr>
            <w:tcW w:w="3640" w:type="dxa"/>
            <w:vAlign w:val="bottom"/>
            <w:gridSpan w:val="4"/>
            <w:shd w:val="clear" w:color="auto" w:fill="0000EE"/>
          </w:tcPr>
          <w:p>
            <w:pPr>
              <w:spacing w:after="0" w:line="20" w:lineRule="exact"/>
              <w:rPr>
                <w:sz w:val="1"/>
                <w:szCs w:val="1"/>
                <w:color w:val="auto"/>
              </w:rPr>
            </w:pPr>
          </w:p>
        </w:tc>
        <w:tc>
          <w:tcPr>
            <w:tcW w:w="300" w:type="dxa"/>
            <w:vAlign w:val="bottom"/>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180" w:type="dxa"/>
            <w:vAlign w:val="bottom"/>
          </w:tcPr>
          <w:p>
            <w:pPr>
              <w:spacing w:after="0"/>
              <w:rPr>
                <w:sz w:val="17"/>
                <w:szCs w:val="17"/>
                <w:color w:val="auto"/>
              </w:rPr>
            </w:pPr>
          </w:p>
        </w:tc>
        <w:tc>
          <w:tcPr>
            <w:tcW w:w="10600" w:type="dxa"/>
            <w:vAlign w:val="bottom"/>
            <w:tcBorders>
              <w:bottom w:val="single" w:sz="8" w:color="0000EE"/>
            </w:tcBorders>
            <w:gridSpan w:val="32"/>
          </w:tcPr>
          <w:p>
            <w:pPr>
              <w:spacing w:after="0" w:line="196" w:lineRule="exact"/>
              <w:rPr>
                <w:sz w:val="20"/>
                <w:szCs w:val="20"/>
                <w:color w:val="auto"/>
              </w:rPr>
            </w:pPr>
            <w:r>
              <w:rPr>
                <w:rFonts w:ascii="Times New Roman" w:cs="Times New Roman" w:eastAsia="Times New Roman" w:hAnsi="Times New Roman"/>
                <w:sz w:val="18"/>
                <w:szCs w:val="18"/>
                <w:b w:val="1"/>
                <w:bCs w:val="1"/>
                <w:color w:val="0000EE"/>
              </w:rPr>
              <w:t>SHARES TO 300,000,000 SHARES AND THE TOTAL NUMBER OF AUTHORIZED SHARES OF PREFERRED STOCK FROM</w:t>
            </w:r>
          </w:p>
        </w:tc>
        <w:tc>
          <w:tcPr>
            <w:tcW w:w="8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6"/>
        </w:trPr>
        <w:tc>
          <w:tcPr>
            <w:tcW w:w="180" w:type="dxa"/>
            <w:vAlign w:val="bottom"/>
          </w:tcPr>
          <w:p>
            <w:pPr>
              <w:spacing w:after="0"/>
              <w:rPr>
                <w:sz w:val="17"/>
                <w:szCs w:val="17"/>
                <w:color w:val="auto"/>
              </w:rPr>
            </w:pPr>
          </w:p>
        </w:tc>
        <w:tc>
          <w:tcPr>
            <w:tcW w:w="10680" w:type="dxa"/>
            <w:vAlign w:val="bottom"/>
            <w:gridSpan w:val="33"/>
          </w:tcPr>
          <w:p>
            <w:pPr>
              <w:spacing w:after="0" w:line="196" w:lineRule="exact"/>
              <w:rPr>
                <w:sz w:val="20"/>
                <w:szCs w:val="20"/>
                <w:color w:val="auto"/>
              </w:rPr>
            </w:pPr>
            <w:r>
              <w:rPr>
                <w:rFonts w:ascii="Times New Roman" w:cs="Times New Roman" w:eastAsia="Times New Roman" w:hAnsi="Times New Roman"/>
                <w:sz w:val="18"/>
                <w:szCs w:val="18"/>
                <w:b w:val="1"/>
                <w:bCs w:val="1"/>
                <w:color w:val="0000EE"/>
              </w:rPr>
              <w:t>416,667 SHARES TO 5,000,000 SHARES</w:t>
            </w:r>
          </w:p>
        </w:tc>
        <w:tc>
          <w:tcPr>
            <w:tcW w:w="400" w:type="dxa"/>
            <w:vAlign w:val="bottom"/>
            <w:gridSpan w:val="2"/>
          </w:tcPr>
          <w:p>
            <w:pPr>
              <w:jc w:val="right"/>
              <w:ind w:right="20"/>
              <w:spacing w:after="0" w:line="196" w:lineRule="exact"/>
              <w:rPr>
                <w:sz w:val="20"/>
                <w:szCs w:val="20"/>
                <w:color w:val="auto"/>
              </w:rPr>
            </w:pPr>
            <w:r>
              <w:rPr>
                <w:rFonts w:ascii="Times New Roman" w:cs="Times New Roman" w:eastAsia="Times New Roman" w:hAnsi="Times New Roman"/>
                <w:sz w:val="18"/>
                <w:szCs w:val="18"/>
                <w:color w:val="auto"/>
              </w:rPr>
              <w:t>25</w:t>
            </w:r>
          </w:p>
        </w:tc>
        <w:tc>
          <w:tcPr>
            <w:tcW w:w="0" w:type="dxa"/>
            <w:vAlign w:val="bottom"/>
          </w:tcPr>
          <w:p>
            <w:pPr>
              <w:spacing w:after="0"/>
              <w:rPr>
                <w:sz w:val="1"/>
                <w:szCs w:val="1"/>
                <w:color w:val="auto"/>
              </w:rPr>
            </w:pPr>
          </w:p>
        </w:tc>
      </w:tr>
      <w:tr>
        <w:trPr>
          <w:trHeight w:val="21"/>
        </w:trPr>
        <w:tc>
          <w:tcPr>
            <w:tcW w:w="180" w:type="dxa"/>
            <w:vAlign w:val="bottom"/>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760" w:type="dxa"/>
            <w:vAlign w:val="bottom"/>
            <w:tcBorders>
              <w:bottom w:val="single" w:sz="8" w:color="0000EE"/>
            </w:tcBorders>
            <w:gridSpan w:val="32"/>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6: TO APPROVE AMENDMENTS TO THE COMPANY’S 2020 STOCK PLAN INCLUDING AN INCREASE IN THE</w:t>
            </w:r>
          </w:p>
        </w:tc>
        <w:tc>
          <w:tcPr>
            <w:tcW w:w="100" w:type="dxa"/>
            <w:vAlign w:val="bottom"/>
            <w:tcBorders>
              <w:bottom w:val="single" w:sz="8" w:color="EEEEEE"/>
            </w:tcBorders>
            <w:gridSpan w:val="2"/>
            <w:shd w:val="clear" w:color="auto" w:fill="EEEEEE"/>
          </w:tcPr>
          <w:p>
            <w:pPr>
              <w:spacing w:after="0"/>
              <w:rPr>
                <w:sz w:val="15"/>
                <w:szCs w:val="15"/>
                <w:color w:val="auto"/>
              </w:rPr>
            </w:pPr>
          </w:p>
        </w:tc>
        <w:tc>
          <w:tcPr>
            <w:tcW w:w="380" w:type="dxa"/>
            <w:vAlign w:val="bottom"/>
            <w:tcBorders>
              <w:bottom w:val="single" w:sz="8" w:color="EEEEEE"/>
            </w:tcBorders>
            <w:shd w:val="clear" w:color="auto" w:fill="EEEEEE"/>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6"/>
        </w:trPr>
        <w:tc>
          <w:tcPr>
            <w:tcW w:w="180" w:type="dxa"/>
            <w:vAlign w:val="bottom"/>
            <w:shd w:val="clear" w:color="auto" w:fill="EEEEEE"/>
          </w:tcPr>
          <w:p>
            <w:pPr>
              <w:spacing w:after="0"/>
              <w:rPr>
                <w:sz w:val="17"/>
                <w:szCs w:val="17"/>
                <w:color w:val="auto"/>
              </w:rPr>
            </w:pPr>
          </w:p>
        </w:tc>
        <w:tc>
          <w:tcPr>
            <w:tcW w:w="10680" w:type="dxa"/>
            <w:vAlign w:val="bottom"/>
            <w:gridSpan w:val="33"/>
            <w:shd w:val="clear" w:color="auto" w:fill="EEEEEE"/>
          </w:tcPr>
          <w:p>
            <w:pPr>
              <w:spacing w:after="0" w:line="196" w:lineRule="exact"/>
              <w:rPr>
                <w:sz w:val="20"/>
                <w:szCs w:val="20"/>
                <w:color w:val="auto"/>
              </w:rPr>
            </w:pPr>
            <w:r>
              <w:rPr>
                <w:rFonts w:ascii="Times New Roman" w:cs="Times New Roman" w:eastAsia="Times New Roman" w:hAnsi="Times New Roman"/>
                <w:sz w:val="18"/>
                <w:szCs w:val="18"/>
                <w:b w:val="1"/>
                <w:bCs w:val="1"/>
                <w:color w:val="0000EE"/>
              </w:rPr>
              <w:t>NUMBER OF SHARES OF COMMON STOCK AUTHORIZED FOR ISSUANCE UNDER THE COMPANY’S 2020 STOCK PLAN</w:t>
            </w:r>
          </w:p>
        </w:tc>
        <w:tc>
          <w:tcPr>
            <w:tcW w:w="380" w:type="dxa"/>
            <w:vAlign w:val="bottom"/>
            <w:shd w:val="clear" w:color="auto" w:fill="EEEEEE"/>
          </w:tcPr>
          <w:p>
            <w:pPr>
              <w:jc w:val="right"/>
              <w:spacing w:after="0" w:line="196" w:lineRule="exact"/>
              <w:rPr>
                <w:sz w:val="20"/>
                <w:szCs w:val="20"/>
                <w:color w:val="auto"/>
              </w:rPr>
            </w:pPr>
            <w:r>
              <w:rPr>
                <w:rFonts w:ascii="Times New Roman" w:cs="Times New Roman" w:eastAsia="Times New Roman" w:hAnsi="Times New Roman"/>
                <w:sz w:val="18"/>
                <w:szCs w:val="18"/>
                <w:color w:val="auto"/>
              </w:rPr>
              <w:t>27</w:t>
            </w: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EEEE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360" w:type="dxa"/>
            <w:vAlign w:val="bottom"/>
            <w:tcBorders>
              <w:top w:val="single" w:sz="8" w:color="0000EE"/>
            </w:tcBorders>
            <w:shd w:val="clear" w:color="auto" w:fill="EEEEEE"/>
          </w:tcPr>
          <w:p>
            <w:pPr>
              <w:spacing w:after="0" w:line="20" w:lineRule="exact"/>
              <w:rPr>
                <w:sz w:val="1"/>
                <w:szCs w:val="1"/>
                <w:color w:val="auto"/>
              </w:rPr>
            </w:pPr>
          </w:p>
        </w:tc>
        <w:tc>
          <w:tcPr>
            <w:tcW w:w="22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0000EE"/>
            </w:tcBorders>
            <w:shd w:val="clear" w:color="auto" w:fill="EEEEEE"/>
          </w:tcPr>
          <w:p>
            <w:pPr>
              <w:spacing w:after="0" w:line="20" w:lineRule="exact"/>
              <w:rPr>
                <w:sz w:val="1"/>
                <w:szCs w:val="1"/>
                <w:color w:val="auto"/>
              </w:rPr>
            </w:pPr>
          </w:p>
        </w:tc>
        <w:tc>
          <w:tcPr>
            <w:tcW w:w="14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120" w:type="dxa"/>
            <w:vAlign w:val="bottom"/>
            <w:tcBorders>
              <w:top w:val="single" w:sz="8" w:color="0000EE"/>
            </w:tcBorders>
            <w:shd w:val="clear" w:color="auto" w:fill="EEEEEE"/>
          </w:tcPr>
          <w:p>
            <w:pPr>
              <w:spacing w:after="0" w:line="20" w:lineRule="exact"/>
              <w:rPr>
                <w:sz w:val="1"/>
                <w:szCs w:val="1"/>
                <w:color w:val="auto"/>
              </w:rPr>
            </w:pPr>
          </w:p>
        </w:tc>
        <w:tc>
          <w:tcPr>
            <w:tcW w:w="120" w:type="dxa"/>
            <w:vAlign w:val="bottom"/>
            <w:tcBorders>
              <w:top w:val="single" w:sz="8" w:color="0000EE"/>
            </w:tcBorders>
            <w:shd w:val="clear" w:color="auto" w:fill="EEEEEE"/>
          </w:tcPr>
          <w:p>
            <w:pPr>
              <w:spacing w:after="0" w:line="20" w:lineRule="exact"/>
              <w:rPr>
                <w:sz w:val="1"/>
                <w:szCs w:val="1"/>
                <w:color w:val="auto"/>
              </w:rPr>
            </w:pPr>
          </w:p>
        </w:tc>
        <w:tc>
          <w:tcPr>
            <w:tcW w:w="520" w:type="dxa"/>
            <w:vAlign w:val="bottom"/>
            <w:tcBorders>
              <w:top w:val="single" w:sz="8" w:color="0000EE"/>
            </w:tcBorders>
            <w:shd w:val="clear" w:color="auto" w:fill="EEEEEE"/>
          </w:tcPr>
          <w:p>
            <w:pPr>
              <w:spacing w:after="0" w:line="20" w:lineRule="exact"/>
              <w:rPr>
                <w:sz w:val="1"/>
                <w:szCs w:val="1"/>
                <w:color w:val="auto"/>
              </w:rPr>
            </w:pPr>
          </w:p>
        </w:tc>
        <w:tc>
          <w:tcPr>
            <w:tcW w:w="640" w:type="dxa"/>
            <w:vAlign w:val="bottom"/>
            <w:tcBorders>
              <w:top w:val="single" w:sz="8" w:color="0000EE"/>
            </w:tcBorders>
            <w:shd w:val="clear" w:color="auto" w:fill="EEEEEE"/>
          </w:tcPr>
          <w:p>
            <w:pPr>
              <w:spacing w:after="0" w:line="20" w:lineRule="exact"/>
              <w:rPr>
                <w:sz w:val="1"/>
                <w:szCs w:val="1"/>
                <w:color w:val="auto"/>
              </w:rPr>
            </w:pPr>
          </w:p>
        </w:tc>
        <w:tc>
          <w:tcPr>
            <w:tcW w:w="1100" w:type="dxa"/>
            <w:vAlign w:val="bottom"/>
            <w:tcBorders>
              <w:top w:val="single" w:sz="8" w:color="0000EE"/>
            </w:tcBorders>
            <w:shd w:val="clear" w:color="auto" w:fill="EEEEEE"/>
          </w:tcPr>
          <w:p>
            <w:pPr>
              <w:spacing w:after="0" w:line="20" w:lineRule="exact"/>
              <w:rPr>
                <w:sz w:val="1"/>
                <w:szCs w:val="1"/>
                <w:color w:val="auto"/>
              </w:rPr>
            </w:pPr>
          </w:p>
        </w:tc>
        <w:tc>
          <w:tcPr>
            <w:tcW w:w="1540" w:type="dxa"/>
            <w:vAlign w:val="bottom"/>
            <w:tcBorders>
              <w:top w:val="single" w:sz="8" w:color="0000EE"/>
            </w:tcBorders>
            <w:shd w:val="clear" w:color="auto" w:fill="EEEEEE"/>
          </w:tcPr>
          <w:p>
            <w:pPr>
              <w:spacing w:after="0" w:line="20" w:lineRule="exact"/>
              <w:rPr>
                <w:sz w:val="1"/>
                <w:szCs w:val="1"/>
                <w:color w:val="auto"/>
              </w:rPr>
            </w:pPr>
          </w:p>
        </w:tc>
        <w:tc>
          <w:tcPr>
            <w:tcW w:w="520" w:type="dxa"/>
            <w:vAlign w:val="bottom"/>
            <w:tcBorders>
              <w:top w:val="single" w:sz="8" w:color="0000EE"/>
            </w:tcBorders>
            <w:shd w:val="clear" w:color="auto" w:fill="EEEEEE"/>
          </w:tcPr>
          <w:p>
            <w:pPr>
              <w:spacing w:after="0" w:line="20" w:lineRule="exact"/>
              <w:rPr>
                <w:sz w:val="1"/>
                <w:szCs w:val="1"/>
                <w:color w:val="auto"/>
              </w:rPr>
            </w:pPr>
          </w:p>
        </w:tc>
        <w:tc>
          <w:tcPr>
            <w:tcW w:w="48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PROPOSAL 7: TO AUTHORIZE THE ADJOURNMENT OF THE ANNUAL MEETING, IF NECESSARY, TO SOLICIT ADDITIONAL</w:t>
            </w:r>
          </w:p>
        </w:tc>
        <w:tc>
          <w:tcPr>
            <w:tcW w:w="3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shd w:val="clear" w:color="auto" w:fill="0000EE"/>
          </w:tcPr>
          <w:p>
            <w:pPr>
              <w:spacing w:after="0" w:line="20" w:lineRule="exact"/>
              <w:rPr>
                <w:sz w:val="1"/>
                <w:szCs w:val="1"/>
                <w:color w:val="auto"/>
              </w:rPr>
            </w:pPr>
          </w:p>
        </w:tc>
        <w:tc>
          <w:tcPr>
            <w:tcW w:w="2260" w:type="dxa"/>
            <w:vAlign w:val="bottom"/>
            <w:shd w:val="clear" w:color="auto" w:fill="0000EE"/>
          </w:tcPr>
          <w:p>
            <w:pPr>
              <w:spacing w:after="0" w:line="20" w:lineRule="exact"/>
              <w:rPr>
                <w:sz w:val="1"/>
                <w:szCs w:val="1"/>
                <w:color w:val="auto"/>
              </w:rPr>
            </w:pPr>
          </w:p>
        </w:tc>
        <w:tc>
          <w:tcPr>
            <w:tcW w:w="140" w:type="dxa"/>
            <w:vAlign w:val="bottom"/>
            <w:gridSpan w:val="2"/>
            <w:shd w:val="clear" w:color="auto" w:fill="0000EE"/>
          </w:tcPr>
          <w:p>
            <w:pPr>
              <w:spacing w:after="0" w:line="20" w:lineRule="exact"/>
              <w:rPr>
                <w:sz w:val="1"/>
                <w:szCs w:val="1"/>
                <w:color w:val="auto"/>
              </w:rPr>
            </w:pPr>
          </w:p>
        </w:tc>
        <w:tc>
          <w:tcPr>
            <w:tcW w:w="1020" w:type="dxa"/>
            <w:vAlign w:val="bottom"/>
            <w:gridSpan w:val="6"/>
            <w:shd w:val="clear" w:color="auto" w:fill="0000EE"/>
          </w:tcPr>
          <w:p>
            <w:pPr>
              <w:spacing w:after="0" w:line="20" w:lineRule="exact"/>
              <w:rPr>
                <w:sz w:val="1"/>
                <w:szCs w:val="1"/>
                <w:color w:val="auto"/>
              </w:rPr>
            </w:pPr>
          </w:p>
        </w:tc>
        <w:tc>
          <w:tcPr>
            <w:tcW w:w="640" w:type="dxa"/>
            <w:vAlign w:val="bottom"/>
            <w:gridSpan w:val="4"/>
            <w:shd w:val="clear" w:color="auto" w:fill="0000EE"/>
          </w:tcPr>
          <w:p>
            <w:pPr>
              <w:spacing w:after="0" w:line="20" w:lineRule="exact"/>
              <w:rPr>
                <w:sz w:val="1"/>
                <w:szCs w:val="1"/>
                <w:color w:val="auto"/>
              </w:rPr>
            </w:pPr>
          </w:p>
        </w:tc>
        <w:tc>
          <w:tcPr>
            <w:tcW w:w="300" w:type="dxa"/>
            <w:vAlign w:val="bottom"/>
            <w:gridSpan w:val="2"/>
            <w:shd w:val="clear" w:color="auto" w:fill="0000EE"/>
          </w:tcPr>
          <w:p>
            <w:pPr>
              <w:spacing w:after="0" w:line="20" w:lineRule="exact"/>
              <w:rPr>
                <w:sz w:val="1"/>
                <w:szCs w:val="1"/>
                <w:color w:val="auto"/>
              </w:rPr>
            </w:pPr>
          </w:p>
        </w:tc>
        <w:tc>
          <w:tcPr>
            <w:tcW w:w="2260" w:type="dxa"/>
            <w:vAlign w:val="bottom"/>
            <w:gridSpan w:val="10"/>
            <w:shd w:val="clear" w:color="auto" w:fill="0000EE"/>
          </w:tcPr>
          <w:p>
            <w:pPr>
              <w:spacing w:after="0" w:line="20" w:lineRule="exact"/>
              <w:rPr>
                <w:sz w:val="1"/>
                <w:szCs w:val="1"/>
                <w:color w:val="auto"/>
              </w:rPr>
            </w:pPr>
          </w:p>
        </w:tc>
        <w:tc>
          <w:tcPr>
            <w:tcW w:w="3940" w:type="dxa"/>
            <w:vAlign w:val="bottom"/>
            <w:gridSpan w:val="5"/>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gridSpan w:val="2"/>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180" w:type="dxa"/>
            <w:vAlign w:val="bottom"/>
          </w:tcPr>
          <w:p>
            <w:pPr>
              <w:spacing w:after="0"/>
              <w:rPr>
                <w:sz w:val="17"/>
                <w:szCs w:val="17"/>
                <w:color w:val="auto"/>
              </w:rPr>
            </w:pPr>
          </w:p>
        </w:tc>
        <w:tc>
          <w:tcPr>
            <w:tcW w:w="10580" w:type="dxa"/>
            <w:vAlign w:val="bottom"/>
            <w:tcBorders>
              <w:bottom w:val="single" w:sz="8" w:color="0000EE"/>
            </w:tcBorders>
            <w:gridSpan w:val="31"/>
          </w:tcPr>
          <w:p>
            <w:pPr>
              <w:spacing w:after="0" w:line="196" w:lineRule="exact"/>
              <w:rPr>
                <w:sz w:val="20"/>
                <w:szCs w:val="20"/>
                <w:color w:val="auto"/>
              </w:rPr>
            </w:pPr>
            <w:r>
              <w:rPr>
                <w:rFonts w:ascii="Times New Roman" w:cs="Times New Roman" w:eastAsia="Times New Roman" w:hAnsi="Times New Roman"/>
                <w:sz w:val="18"/>
                <w:szCs w:val="18"/>
                <w:b w:val="1"/>
                <w:bCs w:val="1"/>
                <w:color w:val="0000EE"/>
              </w:rPr>
              <w:t>PROXIES IF THERE ARE NOT SUFFICIENT VOTES AT THE TIME OF THE ANNUAL MEETING OR ADJOURNMENT OR</w:t>
            </w:r>
          </w:p>
        </w:tc>
        <w:tc>
          <w:tcPr>
            <w:tcW w:w="100" w:type="dxa"/>
            <w:vAlign w:val="bottom"/>
            <w:gridSpan w:val="2"/>
          </w:tcPr>
          <w:p>
            <w:pPr>
              <w:spacing w:after="0"/>
              <w:rPr>
                <w:sz w:val="17"/>
                <w:szCs w:val="17"/>
                <w:color w:val="auto"/>
              </w:rPr>
            </w:pPr>
          </w:p>
        </w:tc>
        <w:tc>
          <w:tcPr>
            <w:tcW w:w="3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6"/>
        </w:trPr>
        <w:tc>
          <w:tcPr>
            <w:tcW w:w="180" w:type="dxa"/>
            <w:vAlign w:val="bottom"/>
          </w:tcPr>
          <w:p>
            <w:pPr>
              <w:spacing w:after="0"/>
              <w:rPr>
                <w:sz w:val="17"/>
                <w:szCs w:val="17"/>
                <w:color w:val="auto"/>
              </w:rPr>
            </w:pPr>
          </w:p>
        </w:tc>
        <w:tc>
          <w:tcPr>
            <w:tcW w:w="10680" w:type="dxa"/>
            <w:vAlign w:val="bottom"/>
            <w:gridSpan w:val="33"/>
          </w:tcPr>
          <w:p>
            <w:pPr>
              <w:spacing w:after="0" w:line="196" w:lineRule="exact"/>
              <w:rPr>
                <w:sz w:val="20"/>
                <w:szCs w:val="20"/>
                <w:color w:val="auto"/>
              </w:rPr>
            </w:pPr>
            <w:r>
              <w:rPr>
                <w:rFonts w:ascii="Times New Roman" w:cs="Times New Roman" w:eastAsia="Times New Roman" w:hAnsi="Times New Roman"/>
                <w:sz w:val="18"/>
                <w:szCs w:val="18"/>
                <w:b w:val="1"/>
                <w:bCs w:val="1"/>
                <w:color w:val="0000EE"/>
              </w:rPr>
              <w:t>POSTPONEMENT THEREOF TO APPROVE ANY OF THE ABOVE PROPOSALS</w:t>
            </w:r>
          </w:p>
        </w:tc>
        <w:tc>
          <w:tcPr>
            <w:tcW w:w="400" w:type="dxa"/>
            <w:vAlign w:val="bottom"/>
            <w:gridSpan w:val="2"/>
          </w:tcPr>
          <w:p>
            <w:pPr>
              <w:jc w:val="right"/>
              <w:ind w:right="20"/>
              <w:spacing w:after="0" w:line="196" w:lineRule="exact"/>
              <w:rPr>
                <w:sz w:val="20"/>
                <w:szCs w:val="20"/>
                <w:color w:val="auto"/>
              </w:rPr>
            </w:pPr>
            <w:r>
              <w:rPr>
                <w:rFonts w:ascii="Times New Roman" w:cs="Times New Roman" w:eastAsia="Times New Roman" w:hAnsi="Times New Roman"/>
                <w:sz w:val="18"/>
                <w:szCs w:val="18"/>
                <w:color w:val="auto"/>
              </w:rPr>
              <w:t>34</w:t>
            </w:r>
          </w:p>
        </w:tc>
        <w:tc>
          <w:tcPr>
            <w:tcW w:w="0" w:type="dxa"/>
            <w:vAlign w:val="bottom"/>
          </w:tcPr>
          <w:p>
            <w:pPr>
              <w:spacing w:after="0"/>
              <w:rPr>
                <w:sz w:val="1"/>
                <w:szCs w:val="1"/>
                <w:color w:val="auto"/>
              </w:rPr>
            </w:pPr>
          </w:p>
        </w:tc>
      </w:tr>
      <w:tr>
        <w:trPr>
          <w:trHeight w:val="20"/>
        </w:trPr>
        <w:tc>
          <w:tcPr>
            <w:tcW w:w="180" w:type="dxa"/>
            <w:vAlign w:val="bottom"/>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14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120" w:type="dxa"/>
            <w:vAlign w:val="bottom"/>
            <w:tcBorders>
              <w:top w:val="single" w:sz="8" w:color="0000EE"/>
            </w:tcBorders>
          </w:tcPr>
          <w:p>
            <w:pPr>
              <w:spacing w:after="0" w:line="20" w:lineRule="exact"/>
              <w:rPr>
                <w:sz w:val="1"/>
                <w:szCs w:val="1"/>
                <w:color w:val="auto"/>
              </w:rPr>
            </w:pPr>
          </w:p>
        </w:tc>
        <w:tc>
          <w:tcPr>
            <w:tcW w:w="520" w:type="dxa"/>
            <w:vAlign w:val="bottom"/>
            <w:tcBorders>
              <w:top w:val="single" w:sz="8" w:color="0000EE"/>
            </w:tcBorders>
          </w:tcPr>
          <w:p>
            <w:pPr>
              <w:spacing w:after="0" w:line="20" w:lineRule="exact"/>
              <w:rPr>
                <w:sz w:val="1"/>
                <w:szCs w:val="1"/>
                <w:color w:val="auto"/>
              </w:rPr>
            </w:pPr>
          </w:p>
        </w:tc>
        <w:tc>
          <w:tcPr>
            <w:tcW w:w="640" w:type="dxa"/>
            <w:vAlign w:val="bottom"/>
            <w:tcBorders>
              <w:top w:val="single" w:sz="8" w:color="0000EE"/>
            </w:tcBorders>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AUDIT COMMITTEE REPORT</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35</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360" w:type="dxa"/>
            <w:vAlign w:val="bottom"/>
            <w:tcBorders>
              <w:top w:val="single" w:sz="8" w:color="EEEEEE"/>
            </w:tcBorders>
            <w:shd w:val="clear" w:color="auto" w:fill="EEEEEE"/>
          </w:tcPr>
          <w:p>
            <w:pPr>
              <w:spacing w:after="0" w:line="20" w:lineRule="exact"/>
              <w:rPr>
                <w:sz w:val="1"/>
                <w:szCs w:val="1"/>
                <w:color w:val="auto"/>
              </w:rPr>
            </w:pPr>
          </w:p>
        </w:tc>
        <w:tc>
          <w:tcPr>
            <w:tcW w:w="2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4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14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640" w:type="dxa"/>
            <w:vAlign w:val="bottom"/>
            <w:tcBorders>
              <w:top w:val="single" w:sz="8" w:color="EEEEEE"/>
            </w:tcBorders>
            <w:shd w:val="clear" w:color="auto" w:fill="EEEEEE"/>
          </w:tcPr>
          <w:p>
            <w:pPr>
              <w:spacing w:after="0" w:line="20" w:lineRule="exact"/>
              <w:rPr>
                <w:sz w:val="1"/>
                <w:szCs w:val="1"/>
                <w:color w:val="auto"/>
              </w:rPr>
            </w:pPr>
          </w:p>
        </w:tc>
        <w:tc>
          <w:tcPr>
            <w:tcW w:w="1100" w:type="dxa"/>
            <w:vAlign w:val="bottom"/>
            <w:tcBorders>
              <w:top w:val="single" w:sz="8" w:color="EEEEEE"/>
            </w:tcBorders>
            <w:shd w:val="clear" w:color="auto" w:fill="EEEEEE"/>
          </w:tcPr>
          <w:p>
            <w:pPr>
              <w:spacing w:after="0" w:line="20" w:lineRule="exact"/>
              <w:rPr>
                <w:sz w:val="1"/>
                <w:szCs w:val="1"/>
                <w:color w:val="auto"/>
              </w:rPr>
            </w:pPr>
          </w:p>
        </w:tc>
        <w:tc>
          <w:tcPr>
            <w:tcW w:w="154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AVAILABILITY OF ANNUAL REPORT ON FORM 10-K</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36</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240" w:type="dxa"/>
            <w:vAlign w:val="bottom"/>
            <w:tcBorders>
              <w:top w:val="single" w:sz="8" w:color="0000EE"/>
            </w:tcBorders>
          </w:tcPr>
          <w:p>
            <w:pPr>
              <w:spacing w:after="0" w:line="20" w:lineRule="exact"/>
              <w:rPr>
                <w:sz w:val="1"/>
                <w:szCs w:val="1"/>
                <w:color w:val="auto"/>
              </w:rPr>
            </w:pPr>
          </w:p>
        </w:tc>
        <w:tc>
          <w:tcPr>
            <w:tcW w:w="3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OTHER PROPOSED ACTION</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36</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360" w:type="dxa"/>
            <w:vAlign w:val="bottom"/>
            <w:tcBorders>
              <w:top w:val="single" w:sz="8" w:color="EEEEEE"/>
            </w:tcBorders>
            <w:shd w:val="clear" w:color="auto" w:fill="EEEEEE"/>
          </w:tcPr>
          <w:p>
            <w:pPr>
              <w:spacing w:after="0" w:line="20" w:lineRule="exact"/>
              <w:rPr>
                <w:sz w:val="1"/>
                <w:szCs w:val="1"/>
                <w:color w:val="auto"/>
              </w:rPr>
            </w:pPr>
          </w:p>
        </w:tc>
        <w:tc>
          <w:tcPr>
            <w:tcW w:w="2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4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14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640" w:type="dxa"/>
            <w:vAlign w:val="bottom"/>
            <w:tcBorders>
              <w:top w:val="single" w:sz="8" w:color="EEEEEE"/>
            </w:tcBorders>
            <w:shd w:val="clear" w:color="auto" w:fill="EEEEEE"/>
          </w:tcPr>
          <w:p>
            <w:pPr>
              <w:spacing w:after="0" w:line="20" w:lineRule="exact"/>
              <w:rPr>
                <w:sz w:val="1"/>
                <w:szCs w:val="1"/>
                <w:color w:val="auto"/>
              </w:rPr>
            </w:pPr>
          </w:p>
        </w:tc>
        <w:tc>
          <w:tcPr>
            <w:tcW w:w="1100" w:type="dxa"/>
            <w:vAlign w:val="bottom"/>
            <w:tcBorders>
              <w:top w:val="single" w:sz="8" w:color="EEEEEE"/>
            </w:tcBorders>
            <w:shd w:val="clear" w:color="auto" w:fill="EEEEEE"/>
          </w:tcPr>
          <w:p>
            <w:pPr>
              <w:spacing w:after="0" w:line="20" w:lineRule="exact"/>
              <w:rPr>
                <w:sz w:val="1"/>
                <w:szCs w:val="1"/>
                <w:color w:val="auto"/>
              </w:rPr>
            </w:pPr>
          </w:p>
        </w:tc>
        <w:tc>
          <w:tcPr>
            <w:tcW w:w="154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10860" w:type="dxa"/>
            <w:vAlign w:val="bottom"/>
            <w:gridSpan w:val="34"/>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HOUSEHOLDING OF PROXY MATERIALS</w:t>
            </w:r>
          </w:p>
        </w:tc>
        <w:tc>
          <w:tcPr>
            <w:tcW w:w="380" w:type="dxa"/>
            <w:vAlign w:val="bottom"/>
          </w:tcPr>
          <w:p>
            <w:pPr>
              <w:jc w:val="right"/>
              <w:spacing w:after="0" w:line="176" w:lineRule="exact"/>
              <w:rPr>
                <w:sz w:val="20"/>
                <w:szCs w:val="20"/>
                <w:color w:val="auto"/>
              </w:rPr>
            </w:pPr>
            <w:r>
              <w:rPr>
                <w:rFonts w:ascii="Times New Roman" w:cs="Times New Roman" w:eastAsia="Times New Roman" w:hAnsi="Times New Roman"/>
                <w:sz w:val="18"/>
                <w:szCs w:val="18"/>
                <w:color w:val="auto"/>
              </w:rPr>
              <w:t>36</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tcPr>
          <w:p>
            <w:pPr>
              <w:spacing w:after="0" w:line="20" w:lineRule="exact"/>
              <w:rPr>
                <w:sz w:val="1"/>
                <w:szCs w:val="1"/>
                <w:color w:val="auto"/>
              </w:rPr>
            </w:pPr>
          </w:p>
        </w:tc>
        <w:tc>
          <w:tcPr>
            <w:tcW w:w="2260" w:type="dxa"/>
            <w:vAlign w:val="bottom"/>
            <w:tcBorders>
              <w:top w:val="single" w:sz="8" w:color="0000EE"/>
            </w:tcBorders>
          </w:tcPr>
          <w:p>
            <w:pPr>
              <w:spacing w:after="0" w:line="20" w:lineRule="exact"/>
              <w:rPr>
                <w:sz w:val="1"/>
                <w:szCs w:val="1"/>
                <w:color w:val="auto"/>
              </w:rPr>
            </w:pPr>
          </w:p>
        </w:tc>
        <w:tc>
          <w:tcPr>
            <w:tcW w:w="40" w:type="dxa"/>
            <w:vAlign w:val="bottom"/>
            <w:tcBorders>
              <w:top w:val="single" w:sz="8" w:color="0000EE"/>
            </w:tcBorders>
          </w:tcPr>
          <w:p>
            <w:pPr>
              <w:spacing w:after="0" w:line="20" w:lineRule="exact"/>
              <w:rPr>
                <w:sz w:val="1"/>
                <w:szCs w:val="1"/>
                <w:color w:val="auto"/>
              </w:rPr>
            </w:pPr>
          </w:p>
        </w:tc>
        <w:tc>
          <w:tcPr>
            <w:tcW w:w="1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360" w:type="dxa"/>
            <w:vAlign w:val="bottom"/>
            <w:tcBorders>
              <w:top w:val="single" w:sz="8" w:color="0000EE"/>
            </w:tcBorders>
          </w:tcPr>
          <w:p>
            <w:pPr>
              <w:spacing w:after="0" w:line="20" w:lineRule="exact"/>
              <w:rPr>
                <w:sz w:val="1"/>
                <w:szCs w:val="1"/>
                <w:color w:val="auto"/>
              </w:rPr>
            </w:pPr>
          </w:p>
        </w:tc>
        <w:tc>
          <w:tcPr>
            <w:tcW w:w="2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5"/>
        </w:trPr>
        <w:tc>
          <w:tcPr>
            <w:tcW w:w="10860" w:type="dxa"/>
            <w:vAlign w:val="bottom"/>
            <w:gridSpan w:val="34"/>
            <w:shd w:val="clear" w:color="auto" w:fill="EEEEEE"/>
          </w:tcPr>
          <w:p>
            <w:pPr>
              <w:spacing w:after="0" w:line="176" w:lineRule="exact"/>
              <w:rPr>
                <w:sz w:val="20"/>
                <w:szCs w:val="20"/>
                <w:color w:val="auto"/>
              </w:rPr>
            </w:pPr>
            <w:r>
              <w:rPr>
                <w:rFonts w:ascii="Times New Roman" w:cs="Times New Roman" w:eastAsia="Times New Roman" w:hAnsi="Times New Roman"/>
                <w:sz w:val="18"/>
                <w:szCs w:val="18"/>
                <w:b w:val="1"/>
                <w:bCs w:val="1"/>
                <w:color w:val="0000EE"/>
              </w:rPr>
              <w:t>STOCKHOLDER PROPOSALS AND SUBMISSIONS</w:t>
            </w:r>
          </w:p>
        </w:tc>
        <w:tc>
          <w:tcPr>
            <w:tcW w:w="380" w:type="dxa"/>
            <w:vAlign w:val="bottom"/>
            <w:shd w:val="clear" w:color="auto" w:fill="EEEEEE"/>
          </w:tcPr>
          <w:p>
            <w:pPr>
              <w:jc w:val="right"/>
              <w:spacing w:after="0" w:line="176" w:lineRule="exact"/>
              <w:rPr>
                <w:sz w:val="20"/>
                <w:szCs w:val="20"/>
                <w:color w:val="auto"/>
              </w:rPr>
            </w:pPr>
            <w:r>
              <w:rPr>
                <w:rFonts w:ascii="Times New Roman" w:cs="Times New Roman" w:eastAsia="Times New Roman" w:hAnsi="Times New Roman"/>
                <w:sz w:val="18"/>
                <w:szCs w:val="18"/>
                <w:color w:val="auto"/>
              </w:rPr>
              <w:t>37</w:t>
            </w:r>
          </w:p>
        </w:tc>
        <w:tc>
          <w:tcPr>
            <w:tcW w:w="2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180" w:type="dxa"/>
            <w:vAlign w:val="bottom"/>
            <w:tcBorders>
              <w:top w:val="single" w:sz="8" w:color="0000EE"/>
            </w:tcBorders>
            <w:shd w:val="clear" w:color="auto" w:fill="EEEEEE"/>
          </w:tcPr>
          <w:p>
            <w:pPr>
              <w:spacing w:after="0" w:line="20" w:lineRule="exact"/>
              <w:rPr>
                <w:sz w:val="1"/>
                <w:szCs w:val="1"/>
                <w:color w:val="auto"/>
              </w:rPr>
            </w:pPr>
          </w:p>
        </w:tc>
        <w:tc>
          <w:tcPr>
            <w:tcW w:w="22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1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360" w:type="dxa"/>
            <w:vAlign w:val="bottom"/>
            <w:tcBorders>
              <w:top w:val="single" w:sz="8" w:color="0000EE"/>
            </w:tcBorders>
            <w:shd w:val="clear" w:color="auto" w:fill="EEEEEE"/>
          </w:tcPr>
          <w:p>
            <w:pPr>
              <w:spacing w:after="0" w:line="20" w:lineRule="exact"/>
              <w:rPr>
                <w:sz w:val="1"/>
                <w:szCs w:val="1"/>
                <w:color w:val="auto"/>
              </w:rPr>
            </w:pPr>
          </w:p>
        </w:tc>
        <w:tc>
          <w:tcPr>
            <w:tcW w:w="220" w:type="dxa"/>
            <w:vAlign w:val="bottom"/>
            <w:tcBorders>
              <w:top w:val="single" w:sz="8" w:color="0000EE"/>
            </w:tcBorders>
            <w:shd w:val="clear" w:color="auto" w:fill="EEEEEE"/>
          </w:tcPr>
          <w:p>
            <w:pPr>
              <w:spacing w:after="0" w:line="20" w:lineRule="exact"/>
              <w:rPr>
                <w:sz w:val="1"/>
                <w:szCs w:val="1"/>
                <w:color w:val="auto"/>
              </w:rPr>
            </w:pPr>
          </w:p>
        </w:tc>
        <w:tc>
          <w:tcPr>
            <w:tcW w:w="20" w:type="dxa"/>
            <w:vAlign w:val="bottom"/>
            <w:tcBorders>
              <w:top w:val="single" w:sz="8" w:color="0000EE"/>
            </w:tcBorders>
            <w:shd w:val="clear" w:color="auto" w:fill="EEEEEE"/>
          </w:tcPr>
          <w:p>
            <w:pPr>
              <w:spacing w:after="0" w:line="20" w:lineRule="exact"/>
              <w:rPr>
                <w:sz w:val="1"/>
                <w:szCs w:val="1"/>
                <w:color w:val="auto"/>
              </w:rPr>
            </w:pPr>
          </w:p>
        </w:tc>
        <w:tc>
          <w:tcPr>
            <w:tcW w:w="60" w:type="dxa"/>
            <w:vAlign w:val="bottom"/>
            <w:tcBorders>
              <w:top w:val="single" w:sz="8" w:color="0000EE"/>
            </w:tcBorders>
            <w:shd w:val="clear" w:color="auto" w:fill="EEEEEE"/>
          </w:tcPr>
          <w:p>
            <w:pPr>
              <w:spacing w:after="0" w:line="20" w:lineRule="exact"/>
              <w:rPr>
                <w:sz w:val="1"/>
                <w:szCs w:val="1"/>
                <w:color w:val="auto"/>
              </w:rPr>
            </w:pPr>
          </w:p>
        </w:tc>
        <w:tc>
          <w:tcPr>
            <w:tcW w:w="40" w:type="dxa"/>
            <w:vAlign w:val="bottom"/>
            <w:tcBorders>
              <w:top w:val="single" w:sz="8" w:color="0000EE"/>
            </w:tcBorders>
            <w:shd w:val="clear" w:color="auto" w:fill="EEEEEE"/>
          </w:tcPr>
          <w:p>
            <w:pPr>
              <w:spacing w:after="0" w:line="20" w:lineRule="exact"/>
              <w:rPr>
                <w:sz w:val="1"/>
                <w:szCs w:val="1"/>
                <w:color w:val="auto"/>
              </w:rPr>
            </w:pPr>
          </w:p>
        </w:tc>
        <w:tc>
          <w:tcPr>
            <w:tcW w:w="240" w:type="dxa"/>
            <w:vAlign w:val="bottom"/>
            <w:tcBorders>
              <w:top w:val="single" w:sz="8" w:color="0000EE"/>
            </w:tcBorders>
            <w:shd w:val="clear" w:color="auto" w:fill="EEEEEE"/>
          </w:tcPr>
          <w:p>
            <w:pPr>
              <w:spacing w:after="0" w:line="20" w:lineRule="exact"/>
              <w:rPr>
                <w:sz w:val="1"/>
                <w:szCs w:val="1"/>
                <w:color w:val="auto"/>
              </w:rPr>
            </w:pPr>
          </w:p>
        </w:tc>
        <w:tc>
          <w:tcPr>
            <w:tcW w:w="300" w:type="dxa"/>
            <w:vAlign w:val="bottom"/>
            <w:tcBorders>
              <w:top w:val="single" w:sz="8" w:color="0000EE"/>
            </w:tcBorders>
            <w:shd w:val="clear" w:color="auto" w:fill="EEEEEE"/>
          </w:tcPr>
          <w:p>
            <w:pPr>
              <w:spacing w:after="0" w:line="20" w:lineRule="exact"/>
              <w:rPr>
                <w:sz w:val="1"/>
                <w:szCs w:val="1"/>
                <w:color w:val="auto"/>
              </w:rPr>
            </w:pPr>
          </w:p>
        </w:tc>
        <w:tc>
          <w:tcPr>
            <w:tcW w:w="2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100" w:type="dxa"/>
            <w:vAlign w:val="bottom"/>
            <w:tcBorders>
              <w:top w:val="single" w:sz="8" w:color="EEEEEE"/>
            </w:tcBorders>
            <w:shd w:val="clear" w:color="auto" w:fill="EEEEEE"/>
          </w:tcPr>
          <w:p>
            <w:pPr>
              <w:spacing w:after="0" w:line="20" w:lineRule="exact"/>
              <w:rPr>
                <w:sz w:val="1"/>
                <w:szCs w:val="1"/>
                <w:color w:val="auto"/>
              </w:rPr>
            </w:pPr>
          </w:p>
        </w:tc>
        <w:tc>
          <w:tcPr>
            <w:tcW w:w="240" w:type="dxa"/>
            <w:vAlign w:val="bottom"/>
            <w:tcBorders>
              <w:top w:val="single" w:sz="8" w:color="EEEEEE"/>
            </w:tcBorders>
            <w:shd w:val="clear" w:color="auto" w:fill="EEEEEE"/>
          </w:tcPr>
          <w:p>
            <w:pPr>
              <w:spacing w:after="0" w:line="20" w:lineRule="exact"/>
              <w:rPr>
                <w:sz w:val="1"/>
                <w:szCs w:val="1"/>
                <w:color w:val="auto"/>
              </w:rPr>
            </w:pPr>
          </w:p>
        </w:tc>
        <w:tc>
          <w:tcPr>
            <w:tcW w:w="6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14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12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640" w:type="dxa"/>
            <w:vAlign w:val="bottom"/>
            <w:tcBorders>
              <w:top w:val="single" w:sz="8" w:color="EEEEEE"/>
            </w:tcBorders>
            <w:shd w:val="clear" w:color="auto" w:fill="EEEEEE"/>
          </w:tcPr>
          <w:p>
            <w:pPr>
              <w:spacing w:after="0" w:line="20" w:lineRule="exact"/>
              <w:rPr>
                <w:sz w:val="1"/>
                <w:szCs w:val="1"/>
                <w:color w:val="auto"/>
              </w:rPr>
            </w:pPr>
          </w:p>
        </w:tc>
        <w:tc>
          <w:tcPr>
            <w:tcW w:w="1100" w:type="dxa"/>
            <w:vAlign w:val="bottom"/>
            <w:tcBorders>
              <w:top w:val="single" w:sz="8" w:color="EEEEEE"/>
            </w:tcBorders>
            <w:shd w:val="clear" w:color="auto" w:fill="EEEEEE"/>
          </w:tcPr>
          <w:p>
            <w:pPr>
              <w:spacing w:after="0" w:line="20" w:lineRule="exact"/>
              <w:rPr>
                <w:sz w:val="1"/>
                <w:szCs w:val="1"/>
                <w:color w:val="auto"/>
              </w:rPr>
            </w:pPr>
          </w:p>
        </w:tc>
        <w:tc>
          <w:tcPr>
            <w:tcW w:w="1540" w:type="dxa"/>
            <w:vAlign w:val="bottom"/>
            <w:tcBorders>
              <w:top w:val="single" w:sz="8" w:color="EEEEEE"/>
            </w:tcBorders>
            <w:shd w:val="clear" w:color="auto" w:fill="EEEEEE"/>
          </w:tcPr>
          <w:p>
            <w:pPr>
              <w:spacing w:after="0" w:line="20" w:lineRule="exact"/>
              <w:rPr>
                <w:sz w:val="1"/>
                <w:szCs w:val="1"/>
                <w:color w:val="auto"/>
              </w:rPr>
            </w:pPr>
          </w:p>
        </w:tc>
        <w:tc>
          <w:tcPr>
            <w:tcW w:w="520" w:type="dxa"/>
            <w:vAlign w:val="bottom"/>
            <w:tcBorders>
              <w:top w:val="single" w:sz="8" w:color="EEEEEE"/>
            </w:tcBorders>
            <w:shd w:val="clear" w:color="auto" w:fill="EEEEEE"/>
          </w:tcPr>
          <w:p>
            <w:pPr>
              <w:spacing w:after="0" w:line="20" w:lineRule="exact"/>
              <w:rPr>
                <w:sz w:val="1"/>
                <w:szCs w:val="1"/>
                <w:color w:val="auto"/>
              </w:rPr>
            </w:pPr>
          </w:p>
        </w:tc>
        <w:tc>
          <w:tcPr>
            <w:tcW w:w="480" w:type="dxa"/>
            <w:vAlign w:val="bottom"/>
            <w:tcBorders>
              <w:top w:val="single" w:sz="8" w:color="EEEEEE"/>
            </w:tcBorders>
            <w:shd w:val="clear" w:color="auto" w:fill="EEEEEE"/>
          </w:tcPr>
          <w:p>
            <w:pPr>
              <w:spacing w:after="0" w:line="20" w:lineRule="exact"/>
              <w:rPr>
                <w:sz w:val="1"/>
                <w:szCs w:val="1"/>
                <w:color w:val="auto"/>
              </w:rPr>
            </w:pPr>
          </w:p>
        </w:tc>
        <w:tc>
          <w:tcPr>
            <w:tcW w:w="30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Borders>
              <w:top w:val="single" w:sz="8" w:color="EEEEEE"/>
            </w:tcBorders>
            <w:shd w:val="clear" w:color="auto" w:fill="EEEEEE"/>
          </w:tcPr>
          <w:p>
            <w:pPr>
              <w:spacing w:after="0" w:line="20" w:lineRule="exact"/>
              <w:rPr>
                <w:sz w:val="1"/>
                <w:szCs w:val="1"/>
                <w:color w:val="auto"/>
              </w:rPr>
            </w:pPr>
          </w:p>
        </w:tc>
        <w:tc>
          <w:tcPr>
            <w:tcW w:w="80" w:type="dxa"/>
            <w:vAlign w:val="bottom"/>
            <w:tcBorders>
              <w:top w:val="single" w:sz="8" w:color="EEEEEE"/>
            </w:tcBorders>
            <w:shd w:val="clear" w:color="auto" w:fill="EEEEEE"/>
          </w:tcPr>
          <w:p>
            <w:pPr>
              <w:spacing w:after="0" w:line="20" w:lineRule="exact"/>
              <w:rPr>
                <w:sz w:val="1"/>
                <w:szCs w:val="1"/>
                <w:color w:val="auto"/>
              </w:rPr>
            </w:pPr>
          </w:p>
        </w:tc>
        <w:tc>
          <w:tcPr>
            <w:tcW w:w="380" w:type="dxa"/>
            <w:vAlign w:val="bottom"/>
            <w:tcBorders>
              <w:top w:val="single" w:sz="8" w:color="EEEEEE"/>
            </w:tcBorders>
            <w:shd w:val="clear" w:color="auto" w:fill="EEEE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 w:name="page5"/>
    <w:bookmarkEnd w:id="4"/>
    <w:p>
      <w:pPr>
        <w:jc w:val="center"/>
        <w:spacing w:after="0"/>
        <w:rPr>
          <w:sz w:val="20"/>
          <w:szCs w:val="20"/>
          <w:color w:val="auto"/>
        </w:rPr>
      </w:pPr>
      <w:r>
        <w:rPr>
          <w:rFonts w:ascii="Times New Roman" w:cs="Times New Roman" w:eastAsia="Times New Roman" w:hAnsi="Times New Roman"/>
          <w:sz w:val="18"/>
          <w:szCs w:val="18"/>
          <w:b w:val="1"/>
          <w:bCs w:val="1"/>
          <w:color w:val="auto"/>
        </w:rPr>
        <w:t>CNS PHARMACEUTICALS,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PROXY STATEMENT</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ANNUAL MEETING OF STOCKHOLDERS</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To Be Held November 17, 2025</w:t>
      </w:r>
    </w:p>
    <w:p>
      <w:pPr>
        <w:spacing w:after="0" w:line="203" w:lineRule="exact"/>
        <w:rPr>
          <w:sz w:val="20"/>
          <w:szCs w:val="20"/>
          <w:color w:val="auto"/>
        </w:rPr>
      </w:pPr>
    </w:p>
    <w:p>
      <w:pPr>
        <w:ind w:left="2940"/>
        <w:spacing w:after="0"/>
        <w:rPr>
          <w:sz w:val="20"/>
          <w:szCs w:val="20"/>
          <w:color w:val="auto"/>
        </w:rPr>
      </w:pPr>
      <w:r>
        <w:rPr>
          <w:rFonts w:ascii="Times New Roman" w:cs="Times New Roman" w:eastAsia="Times New Roman" w:hAnsi="Times New Roman"/>
          <w:sz w:val="18"/>
          <w:szCs w:val="18"/>
          <w:b w:val="1"/>
          <w:bCs w:val="1"/>
          <w:color w:val="auto"/>
        </w:rPr>
        <w:t>INFORMATION ABOUT THE ANNUAL MEETING AND VOTING</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WHY DID YOU SEND ME THIS PROXY STATEMENT?</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This proxy statement and the enclosed proxy card are furnished in connection with the solicitation of proxies by the Board of Directors of CNS Pharmaceuticals, Inc., a Nevada corporation, for use at the Annual Meeting of CNS Pharmaceuticals’ stockholders to be held on November 17, 2025. The Annual Meeting will begin at 12:00 P.M. Eastern Standard Time virtually at https://westcoaststocktransfer.com/proxy-CNSP/. This proxy statement summarizes the information you need to make an informed vote on the proposals to be considered at the Annual Meeting. However, you do not need to attend the Annual Meeting to vote your shares. Instead, you may simply complete, sign and return the enclosed proxy card using the envelope provided. The terms “CNS Pharmaceuticals,” “Company,” “we,” or “our” refer to CNS Pharmaceuticals, Inc.</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WHAT PROPOSALS WILL BE ADDRESSED AT THE ANNUAL MEETING?</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We will address the following proposals at the Annual Meeting:</w:t>
      </w:r>
    </w:p>
    <w:p>
      <w:pPr>
        <w:spacing w:after="0" w:line="225" w:lineRule="exact"/>
        <w:rPr>
          <w:sz w:val="20"/>
          <w:szCs w:val="20"/>
          <w:color w:val="auto"/>
        </w:rPr>
      </w:pPr>
    </w:p>
    <w:p>
      <w:pPr>
        <w:ind w:left="1300" w:hanging="644"/>
        <w:spacing w:after="0" w:line="282" w:lineRule="auto"/>
        <w:tabs>
          <w:tab w:leader="none" w:pos="130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elect six Board nominees to the Board of Directors of the Company, each to serve until the 2026 annual meeting of stockholders of the Company or until such person’s successor is qualified and elected.</w:t>
      </w:r>
    </w:p>
    <w:p>
      <w:pPr>
        <w:spacing w:after="0" w:line="161"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ratify the appointment of MaloneBailey, LLP as the Company’s independent registered public accounting firm for the year ending December 31, 2025.</w:t>
      </w:r>
    </w:p>
    <w:p>
      <w:pPr>
        <w:spacing w:after="0" w:line="161"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vote on a non-binding, advisory resolution to approve executive compensation.</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vote on a non-binding, advisory proposal on the frequency of holding future votes regarding executive compensation.</w:t>
      </w:r>
    </w:p>
    <w:p>
      <w:pPr>
        <w:spacing w:after="0" w:line="225" w:lineRule="exact"/>
        <w:rPr>
          <w:rFonts w:ascii="Times New Roman" w:cs="Times New Roman" w:eastAsia="Times New Roman" w:hAnsi="Times New Roman"/>
          <w:sz w:val="18"/>
          <w:szCs w:val="18"/>
          <w:color w:val="auto"/>
        </w:rPr>
      </w:pPr>
    </w:p>
    <w:p>
      <w:pPr>
        <w:jc w:val="both"/>
        <w:ind w:left="1300" w:hanging="644"/>
        <w:spacing w:after="0" w:line="266" w:lineRule="auto"/>
        <w:tabs>
          <w:tab w:leader="none" w:pos="130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an amendment to the Company’s Amended and Restated Articles of Incorporation to increase the total number of authorized shares of common stock from 25,000,000 shares to 300,000,000 shares and the total number of authorized shares of preferred stock from 416,667 shares to 5,000,000 shares.</w:t>
      </w:r>
    </w:p>
    <w:p>
      <w:pPr>
        <w:spacing w:after="0" w:line="175"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amendments to the Company’s 2020 Stock Plan including an increase in the number of shares of common stock authorized for issuance under the Company’s 2020 Stock Plan.</w:t>
      </w:r>
    </w:p>
    <w:p>
      <w:pPr>
        <w:spacing w:after="0" w:line="161"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authorize the adjournment of the Annual Meeting, if necessary, to solicit additional proxies if there are not sufficient votes at the time of the Annual Meeting or adjournment or postponement thereof to approve any of the above proposals.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5" w:name="page6"/>
    <w:bookmarkEnd w:id="5"/>
    <w:p>
      <w:pPr>
        <w:spacing w:after="0"/>
        <w:rPr>
          <w:sz w:val="20"/>
          <w:szCs w:val="20"/>
          <w:color w:val="auto"/>
        </w:rPr>
      </w:pPr>
      <w:r>
        <w:rPr>
          <w:rFonts w:ascii="Times New Roman" w:cs="Times New Roman" w:eastAsia="Times New Roman" w:hAnsi="Times New Roman"/>
          <w:sz w:val="18"/>
          <w:szCs w:val="18"/>
          <w:b w:val="1"/>
          <w:bCs w:val="1"/>
          <w:color w:val="auto"/>
        </w:rPr>
        <w:t>WHO MAY VOTE ON THESE PROPOSALS?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will send this proxy statement, the attached Notice of Annual Meeting and the enclosed proxy card on or about October 20, 2025 to all stockholders as of October 10, 2025 (the “Record Date”). Stockholders who owned shares of our common stock at the close of business on the Record Date are entitled to vote at the Annual Meeting on all matters properly brought before the Annual Meeting.</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On the Record Date, we had 574,580 shares of issued and outstanding common stock entitled to vote at the Annual Meeting.</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HOW MANY VOTES DO I HAVE?</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Each share of common stock is entitled to one vote on each matter presented at the Annual Meeting. Cumulative voting is not permitted.</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WHY WOULD THE ANNUAL MEETING BE POSTPONED?</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Annual Meeting will be postponed if a quorum is not present on November 17, 2025.</w:t>
      </w:r>
    </w:p>
    <w:p>
      <w:pPr>
        <w:spacing w:after="0" w:line="225" w:lineRule="exact"/>
        <w:rPr>
          <w:sz w:val="20"/>
          <w:szCs w:val="20"/>
          <w:color w:val="auto"/>
        </w:rPr>
      </w:pPr>
    </w:p>
    <w:p>
      <w:pPr>
        <w:ind w:left="1300" w:hanging="644"/>
        <w:spacing w:after="0" w:line="282" w:lineRule="auto"/>
        <w:tabs>
          <w:tab w:leader="none" w:pos="130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elect six Board nominees to the Board of Directors of the Company, each to serve until the 2026 annual meeting of stockholders of the Company or until such person’s successor is qualified and elected.</w:t>
      </w:r>
    </w:p>
    <w:p>
      <w:pPr>
        <w:spacing w:after="0" w:line="161"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ratify the appointment of MaloneBailey, LLP as the Company’s independent registered public accounting firm for the year ending December 31, 2025.</w:t>
      </w:r>
    </w:p>
    <w:p>
      <w:pPr>
        <w:spacing w:after="0" w:line="161"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vote on a non-binding, advisory resolution to approve executive compensation.</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vote on a non-binding, advisory proposal on the frequency of holding future votes regarding executive compensation.</w:t>
      </w:r>
    </w:p>
    <w:p>
      <w:pPr>
        <w:spacing w:after="0" w:line="225" w:lineRule="exact"/>
        <w:rPr>
          <w:rFonts w:ascii="Times New Roman" w:cs="Times New Roman" w:eastAsia="Times New Roman" w:hAnsi="Times New Roman"/>
          <w:sz w:val="18"/>
          <w:szCs w:val="18"/>
          <w:color w:val="auto"/>
        </w:rPr>
      </w:pPr>
    </w:p>
    <w:p>
      <w:pPr>
        <w:jc w:val="both"/>
        <w:ind w:left="1300" w:hanging="644"/>
        <w:spacing w:after="0" w:line="266" w:lineRule="auto"/>
        <w:tabs>
          <w:tab w:leader="none" w:pos="130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an amendment to the Company’s Amended and Restated Articles of Incorporation to increase the total number of authorized shares of common stock from 25,000,000 shares to 300,000,000 shares and the total number of authorized shares of preferred stock from 416,667 shares to 5,000,000 shares.</w:t>
      </w:r>
    </w:p>
    <w:p>
      <w:pPr>
        <w:spacing w:after="0" w:line="175"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approve amendments to the Company’s 2020 Stock Plan including an increase in the number of shares of common stock authorized for issuance under the Company’s 2020 Stock Plan.</w:t>
      </w:r>
    </w:p>
    <w:p>
      <w:pPr>
        <w:spacing w:after="0" w:line="161"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authorize the adjournment of the Annual Meeting, if necessary, to solicit additional proxies if there are not sufficient votes at the time of the Annual Meeting or adjournment or postponement thereof to approve any of the above proposals.</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presence in person or by proxy of at least one-third of our common stock outstanding as of the Record Date will constitute a quorum and is required to transact business at the Annual Meeting. If a quorum is not present, the Annual Meeting may be adjourned until a quorum is obtained.</w:t>
      </w:r>
    </w:p>
    <w:p>
      <w:pPr>
        <w:spacing w:after="0" w:line="162"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Abstentions and broker non-votes are treated as shares present or represented at the meeting but are not counted as votes cast. Shares held by brokers who do not have discretionary authority to vote on a particular matter and who have not received voting instructions from their customers are not counted or deemed to be present or represented for the purpose of determining whether stockholders have approved that matter, but they are counted as present for the purposes of determining the existence of a quorum at the Annual Meeting.</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6" w:name="page7"/>
    <w:bookmarkEnd w:id="6"/>
    <w:p>
      <w:pPr>
        <w:spacing w:after="0"/>
        <w:rPr>
          <w:sz w:val="20"/>
          <w:szCs w:val="20"/>
          <w:color w:val="auto"/>
        </w:rPr>
      </w:pPr>
      <w:r>
        <w:rPr>
          <w:rFonts w:ascii="Times New Roman" w:cs="Times New Roman" w:eastAsia="Times New Roman" w:hAnsi="Times New Roman"/>
          <w:sz w:val="18"/>
          <w:szCs w:val="18"/>
          <w:b w:val="1"/>
          <w:bCs w:val="1"/>
          <w:color w:val="auto"/>
        </w:rPr>
        <w:t>HOW DO I VOTE WITHOUT ATTENDING THE MEETING?</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Vote via Proxy</w:t>
      </w:r>
    </w:p>
    <w:p>
      <w:pPr>
        <w:spacing w:after="0" w:line="227"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Whether you plan to attend the Annual Meeting or not, we urge you to complete, sign and date the enclosed proxy card and return it promptly in the envelope provided. Returning the proxy card will not affect your right to attend the Annual Meeting and vote in person.</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If you properly fill in your proxy card and send it to us in time to vote, your proxy (one of the individuals named on your proxy card) will vote your shares as you have directed. If you sign the proxy card but do not make specific choices, your proxy will vote your shares as recommended by the Board of Directors as follows:</w:t>
      </w:r>
    </w:p>
    <w:p>
      <w:pPr>
        <w:spacing w:after="0" w:line="176" w:lineRule="exact"/>
        <w:rPr>
          <w:sz w:val="20"/>
          <w:szCs w:val="20"/>
          <w:color w:val="auto"/>
        </w:rPr>
      </w:pPr>
    </w:p>
    <w:p>
      <w:pPr>
        <w:ind w:left="1300" w:hanging="644"/>
        <w:spacing w:after="0"/>
        <w:tabs>
          <w:tab w:leader="none" w:pos="130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the election of the Board’s six nominees to our Board of Directors.</w:t>
      </w:r>
    </w:p>
    <w:p>
      <w:pPr>
        <w:spacing w:after="0" w:line="225" w:lineRule="exact"/>
        <w:rPr>
          <w:rFonts w:ascii="Times New Roman" w:cs="Times New Roman" w:eastAsia="Times New Roman" w:hAnsi="Times New Roman"/>
          <w:sz w:val="18"/>
          <w:szCs w:val="18"/>
          <w:color w:val="auto"/>
        </w:rPr>
      </w:pPr>
    </w:p>
    <w:p>
      <w:pPr>
        <w:ind w:left="1300" w:hanging="644"/>
        <w:spacing w:after="0" w:line="282" w:lineRule="auto"/>
        <w:tabs>
          <w:tab w:leader="none" w:pos="130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ratification of the appointment of MaloneBailey, LLP as our independent registered public accounting firm for the year ending December 31, 2025.</w:t>
      </w:r>
    </w:p>
    <w:p>
      <w:pPr>
        <w:spacing w:after="0" w:line="161"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approval of a non-binding, advisory resolution to approve executive compensation.</w:t>
      </w:r>
    </w:p>
    <w:p>
      <w:pPr>
        <w:spacing w:after="0" w:line="225" w:lineRule="exact"/>
        <w:rPr>
          <w:rFonts w:ascii="Times New Roman" w:cs="Times New Roman" w:eastAsia="Times New Roman" w:hAnsi="Times New Roman"/>
          <w:sz w:val="18"/>
          <w:szCs w:val="18"/>
          <w:color w:val="auto"/>
        </w:rPr>
      </w:pPr>
    </w:p>
    <w:p>
      <w:pPr>
        <w:ind w:left="1300" w:hanging="644"/>
        <w:spacing w:after="0"/>
        <w:tabs>
          <w:tab w:leader="none" w:pos="130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approval of on a non-binding, advisory proposal on the frequency of holding future votes regarding executive compensation.</w:t>
      </w:r>
    </w:p>
    <w:p>
      <w:pPr>
        <w:spacing w:after="0" w:line="225" w:lineRule="exact"/>
        <w:rPr>
          <w:rFonts w:ascii="Times New Roman" w:cs="Times New Roman" w:eastAsia="Times New Roman" w:hAnsi="Times New Roman"/>
          <w:sz w:val="18"/>
          <w:szCs w:val="18"/>
          <w:color w:val="auto"/>
        </w:rPr>
      </w:pPr>
    </w:p>
    <w:p>
      <w:pPr>
        <w:jc w:val="both"/>
        <w:ind w:left="1300" w:hanging="644"/>
        <w:spacing w:after="0" w:line="266" w:lineRule="auto"/>
        <w:tabs>
          <w:tab w:leader="none" w:pos="130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approval of an amendment to the Company’s Amended and Restated Articles of Incorporation to increase the total number of authorized shares of common stock from 25,000,000 shares to 300,000,000 shares and the total number of authorized shares of preferred stock from 416,667 shares to 5,000,000 shares.</w:t>
      </w:r>
    </w:p>
    <w:p>
      <w:pPr>
        <w:spacing w:after="0" w:line="175" w:lineRule="exact"/>
        <w:rPr>
          <w:rFonts w:ascii="Times New Roman" w:cs="Times New Roman" w:eastAsia="Times New Roman" w:hAnsi="Times New Roman"/>
          <w:sz w:val="18"/>
          <w:szCs w:val="18"/>
          <w:color w:val="auto"/>
        </w:rPr>
      </w:pPr>
    </w:p>
    <w:p>
      <w:pPr>
        <w:ind w:left="1300" w:right="20" w:hanging="644"/>
        <w:spacing w:after="0" w:line="282" w:lineRule="auto"/>
        <w:tabs>
          <w:tab w:leader="none" w:pos="130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approval of amendments to the 2020 Plan including an increase in the number of shares of common stock authorized for issuance under the 2020 Plan.</w:t>
      </w:r>
    </w:p>
    <w:p>
      <w:pPr>
        <w:spacing w:after="0" w:line="161" w:lineRule="exact"/>
        <w:rPr>
          <w:rFonts w:ascii="Times New Roman" w:cs="Times New Roman" w:eastAsia="Times New Roman" w:hAnsi="Times New Roman"/>
          <w:sz w:val="18"/>
          <w:szCs w:val="18"/>
          <w:color w:val="auto"/>
        </w:rPr>
      </w:pPr>
    </w:p>
    <w:p>
      <w:pPr>
        <w:ind w:left="1300" w:right="20" w:hanging="644"/>
        <w:spacing w:after="0" w:line="282" w:lineRule="auto"/>
        <w:tabs>
          <w:tab w:leader="none" w:pos="130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approval to authorize the adjournment of the Annual Meeting, if necessary, to solicit additional proxies if there are not sufficient votes at the time of the Annual Meeting or adjournment or postponement thereof to approve any of the proposals.</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If any other matters are presented, your proxy will vote in accordance with his or her best judgment. At the time this proxy statement was printed, we knew of no matters that needed to be acted on at the Annual Meeting other than those discussed in this proxy statement.</w:t>
      </w:r>
    </w:p>
    <w:p>
      <w:pPr>
        <w:spacing w:after="0" w:line="16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Vote via Telephone</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If you are a stockholder of record, you may call (619) 664-4780, toll-free in the United States, U.S. territories and Canada, and use any touch-tone telephone to transmit your vote up until 11:59 P.M., Eastern Standard Time, November 16, 2025 (the day before the Annual Meeting). Have your proxy card in hand when you call and then follow the instructions.</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Vote via Internet</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If you are a stockholder of record, you may use the Internet to transmit your vote up until 11:59 P.M., Eastern Standard Time, November 16, 2025 (the day before the Annual Meeting). Visit https://westcoaststocktransfer.com/proxy-CNSP/ and have your proxy card in hand when you access the website and follow the instructions. You will need your control number and Request ID to vote.</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If you hold your shares in “street name,” that is through a broker, bank or other nominee, that institution will instruct you as to how your shares may be voted by proxy, including whether telephone or Internet voting options are available.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7" w:name="page8"/>
    <w:bookmarkEnd w:id="7"/>
    <w:p>
      <w:pPr>
        <w:spacing w:after="0"/>
        <w:rPr>
          <w:sz w:val="20"/>
          <w:szCs w:val="20"/>
          <w:color w:val="auto"/>
        </w:rPr>
      </w:pPr>
      <w:r>
        <w:rPr>
          <w:rFonts w:ascii="Times New Roman" w:cs="Times New Roman" w:eastAsia="Times New Roman" w:hAnsi="Times New Roman"/>
          <w:sz w:val="18"/>
          <w:szCs w:val="18"/>
          <w:b w:val="1"/>
          <w:bCs w:val="1"/>
          <w:color w:val="auto"/>
        </w:rPr>
        <w:t>HOW CAN I VOTE MY SHARES IN PERSON AND PARTICIPATE AT THE ANNUAL MEETING?</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To participate in the virtual Annual Meeting, visit https://westcoaststocktransfer.com/proxy-CNSP/ and enter the control number on your proxy card, or on the instructions that accompanied your proxy materials. You will need your control number and Request ID to access and vote the Annual Meeting. We recommend you login to the Annual Meeting at least 15 minutes before the meeting is scheduled to start so that any technical difficulties may be addressed before the meeting begins.</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If you do not have your control number or Request ID, contact West Coast Stock Transfer at the phone number or e-mail address below. Beneficial investors who hold shares through a bank, broker or other intermediary, will need to contact them and obtain a legal proxy. Once you have your legal proxy, contact West Coast Stock Transfer to have a control number generated. West Coast Stock Transfer contact information is as follows: phone (619) 664-4780 ext. 100, or email proxy@wcsti.com.</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Stockholders will also have the option to listen to the Annual Meeting by visiting the link below to register: https://westcoaststocktransfer.com/proxy-CNSP/.</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You will not be able to vote or submit questions unless you register for and log in to the Annual Meeting.</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MAY I REVOKE MY PROXY?</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If you give a proxy, you may revoke it at any time before it is exercised. You may revoke your proxy in three ways:</w:t>
      </w:r>
    </w:p>
    <w:p>
      <w:pPr>
        <w:spacing w:after="0" w:line="225" w:lineRule="exact"/>
        <w:rPr>
          <w:sz w:val="20"/>
          <w:szCs w:val="20"/>
          <w:color w:val="auto"/>
        </w:rPr>
      </w:pPr>
    </w:p>
    <w:p>
      <w:pPr>
        <w:ind w:left="580" w:hanging="572"/>
        <w:spacing w:after="0"/>
        <w:tabs>
          <w:tab w:leader="none" w:pos="58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You may send in another proxy with a later date.</w:t>
      </w:r>
    </w:p>
    <w:p>
      <w:pPr>
        <w:spacing w:after="0" w:line="27" w:lineRule="exact"/>
        <w:rPr>
          <w:rFonts w:ascii="Times New Roman" w:cs="Times New Roman" w:eastAsia="Times New Roman" w:hAnsi="Times New Roman"/>
          <w:sz w:val="18"/>
          <w:szCs w:val="18"/>
          <w:color w:val="auto"/>
        </w:rPr>
      </w:pPr>
    </w:p>
    <w:p>
      <w:pPr>
        <w:ind w:left="580" w:hanging="572"/>
        <w:spacing w:after="0" w:line="250" w:lineRule="auto"/>
        <w:tabs>
          <w:tab w:leader="none" w:pos="58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You may notify us in writing (or if the stockholder is a corporation, under its corporate seal, by an officer or attorney of the corporation) at our principal executive offices before the Annual Meeting that you are revoking your proxy.</w:t>
      </w:r>
    </w:p>
    <w:p>
      <w:pPr>
        <w:ind w:left="580" w:hanging="572"/>
        <w:spacing w:after="0"/>
        <w:tabs>
          <w:tab w:leader="none" w:pos="58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You may vote in person at the Annual Meeting.</w:t>
      </w:r>
    </w:p>
    <w:p>
      <w:pPr>
        <w:spacing w:after="0" w:line="20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WHAT VOTE IS REQUIRED TO APPROVE EACH PROPOSAL?</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b w:val="1"/>
          <w:bCs w:val="1"/>
          <w:color w:val="auto"/>
        </w:rPr>
        <w:t>Proposal 1: Election of Directors</w:t>
      </w:r>
      <w:r>
        <w:rPr>
          <w:rFonts w:ascii="Times New Roman" w:cs="Times New Roman" w:eastAsia="Times New Roman" w:hAnsi="Times New Roman"/>
          <w:sz w:val="18"/>
          <w:szCs w:val="18"/>
          <w:color w:val="auto"/>
        </w:rPr>
        <w:t>.</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 plurality of the eligible votes cast is required to elect director nominees, and as such, the six nominees who receive the greatest number of “For” votes cast by stockholders, entitled to vote at the meeting, will be elected. A nominee who receives a plurality means he or she has received more “For” votes than any other nominee for the same director’s seat. Broker non-votes will have no effect on this proposal.</w:t>
      </w:r>
    </w:p>
    <w:p>
      <w:pPr>
        <w:spacing w:after="0" w:line="17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b w:val="1"/>
          <w:bCs w:val="1"/>
          <w:color w:val="auto"/>
        </w:rPr>
        <w:t>Proposal 2: Ratification of Appointment of Independent Registered Public Accounting Firm.</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approval of Proposal 2 requires the number of votes cast in favor of the proposal to exceed the number of votes cast against the action. Abstentions and broker non-votes will have no effect on this proposal.</w:t>
      </w:r>
    </w:p>
    <w:p>
      <w:pPr>
        <w:spacing w:after="0" w:line="158"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b w:val="1"/>
          <w:bCs w:val="1"/>
          <w:color w:val="auto"/>
        </w:rPr>
        <w:t>Proposal 3: To vote on a non-binding, advisory resolution to approve executive compensation.</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approval of Proposal 3 requires the number of votes cast in favor of the proposal to exceed the number of votes cast against the action. Abstentions and broker non-votes will have no effect on this proposal.</w:t>
      </w:r>
    </w:p>
    <w:p>
      <w:pPr>
        <w:spacing w:after="0" w:line="158"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b w:val="1"/>
          <w:bCs w:val="1"/>
          <w:color w:val="auto"/>
        </w:rPr>
        <w:t>Proposal 4: To vote on a non-binding, advisory proposal on the frequency of holding future votes regarding executive compensation.</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approval of Proposal 4 requires the number of votes cast in favor of the proposal to exceed the number of votes cast against the action. Abstentions and broker non-votes will have no effect on this proposal.</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8" w:name="page9"/>
    <w:bookmarkEnd w:id="8"/>
    <w:p>
      <w:pPr>
        <w:jc w:val="both"/>
        <w:ind w:firstLine="648"/>
        <w:spacing w:after="0" w:line="268" w:lineRule="auto"/>
        <w:rPr>
          <w:sz w:val="20"/>
          <w:szCs w:val="20"/>
          <w:color w:val="auto"/>
        </w:rPr>
      </w:pPr>
      <w:r>
        <w:rPr>
          <w:rFonts w:ascii="Times New Roman" w:cs="Times New Roman" w:eastAsia="Times New Roman" w:hAnsi="Times New Roman"/>
          <w:sz w:val="18"/>
          <w:szCs w:val="18"/>
          <w:b w:val="1"/>
          <w:bCs w:val="1"/>
          <w:color w:val="auto"/>
        </w:rPr>
        <w:t>Proposal 5: To approve an amendment to the Company’s Amended and Restated Articles of Incorporation to increase the total number of authorized shares of common stock from 25,000,000 shares to 300,000,000 shares and the total number of authorized shares of preferred stock from 416,667 shares to 5,000,000 shares.</w:t>
      </w:r>
    </w:p>
    <w:p>
      <w:pPr>
        <w:spacing w:after="0" w:line="17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approval of Proposal 5 requires the number of votes cast in favor of the proposal to exceed the number of votes cast against the action. Abstentions and broker non-votes will have no effect on this proposal.</w:t>
      </w:r>
    </w:p>
    <w:p>
      <w:pPr>
        <w:spacing w:after="0" w:line="158" w:lineRule="exact"/>
        <w:rPr>
          <w:sz w:val="20"/>
          <w:szCs w:val="20"/>
          <w:color w:val="auto"/>
        </w:rPr>
      </w:pPr>
    </w:p>
    <w:p>
      <w:pPr>
        <w:jc w:val="both"/>
        <w:ind w:firstLine="648"/>
        <w:spacing w:after="0" w:line="286" w:lineRule="auto"/>
        <w:rPr>
          <w:sz w:val="20"/>
          <w:szCs w:val="20"/>
          <w:color w:val="auto"/>
        </w:rPr>
      </w:pPr>
      <w:r>
        <w:rPr>
          <w:rFonts w:ascii="Times New Roman" w:cs="Times New Roman" w:eastAsia="Times New Roman" w:hAnsi="Times New Roman"/>
          <w:sz w:val="18"/>
          <w:szCs w:val="18"/>
          <w:b w:val="1"/>
          <w:bCs w:val="1"/>
          <w:color w:val="auto"/>
        </w:rPr>
        <w:t>Proposal 6: To approve amendments to the 2020 Plan including an increase in the number of shares of common stock authorized for issuance under the 2020 Plan.</w:t>
      </w:r>
    </w:p>
    <w:p>
      <w:pPr>
        <w:spacing w:after="0" w:line="15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approval of Proposal 6 requires the number of votes cast in favor of the proposal to exceed the number of votes cast against the action. Abstentions and broker non-votes will have no effect on this proposal.</w:t>
      </w:r>
    </w:p>
    <w:p>
      <w:pPr>
        <w:spacing w:after="0" w:line="158" w:lineRule="exact"/>
        <w:rPr>
          <w:sz w:val="20"/>
          <w:szCs w:val="20"/>
          <w:color w:val="auto"/>
        </w:rPr>
      </w:pPr>
    </w:p>
    <w:p>
      <w:pPr>
        <w:jc w:val="both"/>
        <w:ind w:firstLine="648"/>
        <w:spacing w:after="0" w:line="286" w:lineRule="auto"/>
        <w:rPr>
          <w:sz w:val="20"/>
          <w:szCs w:val="20"/>
          <w:color w:val="auto"/>
        </w:rPr>
      </w:pPr>
      <w:r>
        <w:rPr>
          <w:rFonts w:ascii="Times New Roman" w:cs="Times New Roman" w:eastAsia="Times New Roman" w:hAnsi="Times New Roman"/>
          <w:sz w:val="18"/>
          <w:szCs w:val="18"/>
          <w:b w:val="1"/>
          <w:bCs w:val="1"/>
          <w:color w:val="auto"/>
        </w:rPr>
        <w:t>Proposal 7: To authorize the adjournment of the Annual Meeting, if necessary, to solicit additional proxies if there are not sufficient votes at the time of the Annual Meeting or adjournment or postponement thereof to approve any of the proposals.</w:t>
      </w:r>
    </w:p>
    <w:p>
      <w:pPr>
        <w:spacing w:after="0" w:line="15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approval of Proposal 7 requires the number of votes cast in favor of the proposal to exceed the number of votes cast against the action. Abstentions and broker non-votes will have no effect on this proposal.</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Other Business That Is Properly Brought Before the Annual Meeting</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If you do not give instructions to your bank or brokerage firm, it will nevertheless be entitled to vote your shares in its discretion on routine matters. However, absent your instructions, the record holder will not be permitted to vote your shares on a non-routine matter, which are referred to as “broker non-votes”, properly brought before the meeting. Broker non-votes (shares held by brokers that do not have discretionary authority to vote on the matter and have not received voting instructions from their clients) are not counted or deemed to be present or represented for the purpose of determining whether stockholders have approved that proposal, but will be counted in determining whether there is a quorum present.</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ARE THERE ANY RIGHTS OF APPRAISAL?</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The Board of Directors is not proposing any action for which the laws of the State of Nevada, our Amended and Restated Articles of Incorporation or our Amended and Restated Bylaws provide a right of a stockholder to obtain appraisal of or payment for such stockholder’s shares.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WHO BEARS THE COST OF SOLICITING PROXIES?</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We will bear the cost of soliciting proxies in the accompanying form and will reimburse brokerage firms and others for expenses involved in forwarding proxy materials to beneficial owners or soliciting their execution. In addition, our directors, our executive officers and certain of our employees may, without additional compensation, solicit proxies by mail, in person, by telephone or other electronic means or by means of press release or other public statements. We have engaged InvestorCom to assist us in soliciting proxies for the Annual Meeting. We expect the fees payable to InvestorCom will be approximately $60,000.</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WHERE ARE CNS’ PRINCIPAL EXECUTIVE OFFICES?</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The principal executive offices of CNS Pharmaceuticals are located at 2100 West Loop South, Suite 900, Houston, TX 77027, and our telephone number is (800) 946-9185.</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HOW CAN I OBTAIN ADDITIONAL INFORMATION ABOUT CNS?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are subject to the informational requirements of the Securities Exchange Act of 1934, as amended, which requires that we file reports, proxy statements and other information with the SEC. The SEC maintains a website that contains reports, proxy and information statements and other information regarding companies, including CNS Pharmaceuticals, that file electronically with the SEC. The SEC’s website address is www.sec.gov. In addition, our filings may be inspected and copied at the public reference facilities of the SEC located at 100 F Street, N.E. Washington, DC 20549.</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9" w:name="page10"/>
    <w:bookmarkEnd w:id="9"/>
    <w:p>
      <w:pPr>
        <w:ind w:left="2220"/>
        <w:spacing w:after="0"/>
        <w:rPr>
          <w:sz w:val="20"/>
          <w:szCs w:val="20"/>
          <w:color w:val="auto"/>
        </w:rPr>
      </w:pPr>
      <w:r>
        <w:rPr>
          <w:rFonts w:ascii="Times New Roman" w:cs="Times New Roman" w:eastAsia="Times New Roman" w:hAnsi="Times New Roman"/>
          <w:sz w:val="18"/>
          <w:szCs w:val="18"/>
          <w:b w:val="1"/>
          <w:bCs w:val="1"/>
          <w:color w:val="auto"/>
        </w:rPr>
        <w:t>STOCK OWNERSHIP OF CERTAIN BENEFICIAL OWNERS AND MANAGEMENT</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following table sets forth information, as of October 10, 2025, regarding beneficial ownership of our common stock by:</w:t>
      </w:r>
    </w:p>
    <w:p>
      <w:pPr>
        <w:spacing w:after="0" w:line="225" w:lineRule="exact"/>
        <w:rPr>
          <w:sz w:val="20"/>
          <w:szCs w:val="20"/>
          <w:color w:val="auto"/>
        </w:rPr>
      </w:pPr>
    </w:p>
    <w:p>
      <w:pPr>
        <w:ind w:left="980" w:hanging="324"/>
        <w:spacing w:after="0"/>
        <w:tabs>
          <w:tab w:leader="none" w:pos="98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of our directors;</w:t>
      </w:r>
    </w:p>
    <w:p>
      <w:pPr>
        <w:spacing w:after="0" w:line="225"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of our named executive officers;</w:t>
      </w:r>
    </w:p>
    <w:p>
      <w:pPr>
        <w:spacing w:after="0" w:line="225"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all directors and officers as a group; and</w:t>
      </w:r>
    </w:p>
    <w:p>
      <w:pPr>
        <w:spacing w:after="0" w:line="225" w:lineRule="exact"/>
        <w:rPr>
          <w:rFonts w:ascii="Times New Roman" w:cs="Times New Roman" w:eastAsia="Times New Roman" w:hAnsi="Times New Roman"/>
          <w:sz w:val="18"/>
          <w:szCs w:val="18"/>
          <w:color w:val="auto"/>
        </w:rPr>
      </w:pPr>
    </w:p>
    <w:p>
      <w:pPr>
        <w:ind w:left="980" w:hanging="324"/>
        <w:spacing w:after="0"/>
        <w:tabs>
          <w:tab w:leader="none" w:pos="98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person, or group of affiliated persons, known by us to beneficially own more than five percent of our shares of common stock.</w:t>
      </w:r>
    </w:p>
    <w:p>
      <w:pPr>
        <w:spacing w:after="0" w:line="225"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Beneficial ownership is determined according to the rules of the SEC, and generally means that person has beneficial ownership of a security if he or she possesses sole or shared voting or investment power of that security and includes warrants and options that are currently exercisable or exercisable within 60 days. Each director or officer, as the case may be, has furnished us with information with respect to beneficial ownership. Except as otherwise indicated, we believe that the beneficial owners of common stock listed below, based on the information each of them has given to us, have sole investment and voting power with respect to their shares, except where community property laws may apply. Except as otherwise noted below, the address for each person or entity listed in the table is c/o CNS Pharmaceuticals, Inc., 2100 West Loop South, Suite 900, Houston, TX 77027.</w:t>
      </w:r>
    </w:p>
    <w:p>
      <w:pPr>
        <w:spacing w:after="0" w:line="129" w:lineRule="exact"/>
        <w:rPr>
          <w:sz w:val="20"/>
          <w:szCs w:val="20"/>
          <w:color w:val="auto"/>
        </w:rPr>
      </w:pPr>
    </w:p>
    <w:tbl>
      <w:tblPr>
        <w:tblLayout w:type="fixed"/>
        <w:tblInd w:w="0" w:type="dxa"/>
        <w:tblCellMar>
          <w:top w:w="0" w:type="dxa"/>
          <w:left w:w="0" w:type="dxa"/>
          <w:bottom w:w="0" w:type="dxa"/>
          <w:right w:w="0" w:type="dxa"/>
        </w:tblCellMar>
      </w:tblPr>
      <w:tr>
        <w:trPr>
          <w:trHeight w:val="333"/>
        </w:trPr>
        <w:tc>
          <w:tcPr>
            <w:tcW w:w="630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b w:val="1"/>
                <w:bCs w:val="1"/>
                <w:color w:val="auto"/>
              </w:rPr>
              <w:t>Name and address of beneficial owner</w:t>
            </w:r>
          </w:p>
        </w:tc>
        <w:tc>
          <w:tcPr>
            <w:tcW w:w="220" w:type="dxa"/>
            <w:vAlign w:val="bottom"/>
            <w:tcBorders>
              <w:bottom w:val="single" w:sz="8" w:color="EEEEEE"/>
            </w:tcBorders>
          </w:tcPr>
          <w:p>
            <w:pPr>
              <w:spacing w:after="0"/>
              <w:rPr>
                <w:sz w:val="24"/>
                <w:szCs w:val="24"/>
                <w:color w:val="auto"/>
              </w:rPr>
            </w:pPr>
          </w:p>
        </w:tc>
        <w:tc>
          <w:tcPr>
            <w:tcW w:w="2260" w:type="dxa"/>
            <w:vAlign w:val="bottom"/>
            <w:tcBorders>
              <w:bottom w:val="single" w:sz="8" w:color="auto"/>
            </w:tcBorders>
          </w:tcPr>
          <w:p>
            <w:pPr>
              <w:ind w:left="100"/>
              <w:spacing w:after="0"/>
              <w:rPr>
                <w:sz w:val="20"/>
                <w:szCs w:val="20"/>
                <w:color w:val="auto"/>
              </w:rPr>
            </w:pPr>
            <w:r>
              <w:rPr>
                <w:rFonts w:ascii="Times New Roman" w:cs="Times New Roman" w:eastAsia="Times New Roman" w:hAnsi="Times New Roman"/>
                <w:sz w:val="18"/>
                <w:szCs w:val="18"/>
                <w:b w:val="1"/>
                <w:bCs w:val="1"/>
                <w:color w:val="auto"/>
              </w:rPr>
              <w:t>Shares Beneficially Owned</w:t>
            </w:r>
          </w:p>
        </w:tc>
        <w:tc>
          <w:tcPr>
            <w:tcW w:w="220" w:type="dxa"/>
            <w:vAlign w:val="bottom"/>
            <w:tcBorders>
              <w:bottom w:val="single" w:sz="8" w:color="EEEEEE"/>
            </w:tcBorders>
          </w:tcPr>
          <w:p>
            <w:pPr>
              <w:spacing w:after="0"/>
              <w:rPr>
                <w:sz w:val="24"/>
                <w:szCs w:val="24"/>
                <w:color w:val="auto"/>
              </w:rPr>
            </w:pPr>
          </w:p>
        </w:tc>
        <w:tc>
          <w:tcPr>
            <w:tcW w:w="2240" w:type="dxa"/>
            <w:vAlign w:val="bottom"/>
            <w:tcBorders>
              <w:bottom w:val="single" w:sz="8" w:color="auto"/>
            </w:tcBorders>
          </w:tcPr>
          <w:p>
            <w:pPr>
              <w:ind w:left="260"/>
              <w:spacing w:after="0"/>
              <w:rPr>
                <w:sz w:val="20"/>
                <w:szCs w:val="20"/>
                <w:color w:val="auto"/>
              </w:rPr>
            </w:pPr>
            <w:r>
              <w:rPr>
                <w:rFonts w:ascii="Times New Roman" w:cs="Times New Roman" w:eastAsia="Times New Roman" w:hAnsi="Times New Roman"/>
                <w:sz w:val="18"/>
                <w:szCs w:val="18"/>
                <w:b w:val="1"/>
                <w:bCs w:val="1"/>
                <w:color w:val="auto"/>
              </w:rPr>
              <w:t xml:space="preserve">Percentage of Class </w:t>
            </w:r>
            <w:r>
              <w:rPr>
                <w:rFonts w:ascii="Times New Roman" w:cs="Times New Roman" w:eastAsia="Times New Roman" w:hAnsi="Times New Roman"/>
                <w:sz w:val="29"/>
                <w:szCs w:val="29"/>
                <w:b w:val="1"/>
                <w:bCs w:val="1"/>
                <w:color w:val="auto"/>
                <w:vertAlign w:val="superscript"/>
              </w:rPr>
              <w:t>(1)</w:t>
            </w:r>
          </w:p>
        </w:tc>
      </w:tr>
      <w:tr>
        <w:trPr>
          <w:trHeight w:val="250"/>
        </w:trPr>
        <w:tc>
          <w:tcPr>
            <w:tcW w:w="65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John Climaco</w:t>
            </w:r>
          </w:p>
        </w:tc>
        <w:tc>
          <w:tcPr>
            <w:tcW w:w="2260" w:type="dxa"/>
            <w:vAlign w:val="bottom"/>
            <w:shd w:val="clear" w:color="auto" w:fill="EEEEEE"/>
          </w:tcPr>
          <w:p>
            <w:pPr>
              <w:jc w:val="center"/>
              <w:spacing w:after="0" w:line="250" w:lineRule="exact"/>
              <w:rPr>
                <w:sz w:val="20"/>
                <w:szCs w:val="20"/>
                <w:color w:val="auto"/>
              </w:rPr>
            </w:pPr>
            <w:r>
              <w:rPr>
                <w:rFonts w:ascii="Times New Roman" w:cs="Times New Roman" w:eastAsia="Times New Roman" w:hAnsi="Times New Roman"/>
                <w:sz w:val="28"/>
                <w:szCs w:val="28"/>
                <w:color w:val="auto"/>
                <w:vertAlign w:val="subscript"/>
              </w:rPr>
              <w:t>21</w:t>
            </w:r>
            <w:r>
              <w:rPr>
                <w:rFonts w:ascii="Times New Roman" w:cs="Times New Roman" w:eastAsia="Times New Roman" w:hAnsi="Times New Roman"/>
                <w:sz w:val="13"/>
                <w:szCs w:val="13"/>
                <w:color w:val="auto"/>
              </w:rPr>
              <w:t xml:space="preserve"> (2)</w:t>
            </w:r>
          </w:p>
        </w:tc>
        <w:tc>
          <w:tcPr>
            <w:tcW w:w="220" w:type="dxa"/>
            <w:vAlign w:val="bottom"/>
            <w:shd w:val="clear" w:color="auto" w:fill="EEEEEE"/>
          </w:tcPr>
          <w:p>
            <w:pPr>
              <w:spacing w:after="0"/>
              <w:rPr>
                <w:sz w:val="21"/>
                <w:szCs w:val="21"/>
                <w:color w:val="auto"/>
              </w:rPr>
            </w:pPr>
          </w:p>
        </w:tc>
        <w:tc>
          <w:tcPr>
            <w:tcW w:w="2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88"/>
              </w:rPr>
              <w:t>*</w:t>
            </w:r>
          </w:p>
        </w:tc>
      </w:tr>
      <w:tr>
        <w:trPr>
          <w:trHeight w:val="256"/>
        </w:trPr>
        <w:tc>
          <w:tcPr>
            <w:tcW w:w="65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Christopher S. Downs</w:t>
            </w:r>
          </w:p>
        </w:tc>
        <w:tc>
          <w:tcPr>
            <w:tcW w:w="2260" w:type="dxa"/>
            <w:vAlign w:val="bottom"/>
          </w:tcPr>
          <w:p>
            <w:pPr>
              <w:jc w:val="center"/>
              <w:spacing w:after="0" w:line="256" w:lineRule="exact"/>
              <w:rPr>
                <w:sz w:val="20"/>
                <w:szCs w:val="20"/>
                <w:color w:val="auto"/>
              </w:rPr>
            </w:pPr>
            <w:r>
              <w:rPr>
                <w:rFonts w:ascii="Times New Roman" w:cs="Times New Roman" w:eastAsia="Times New Roman" w:hAnsi="Times New Roman"/>
                <w:sz w:val="29"/>
                <w:szCs w:val="29"/>
                <w:color w:val="auto"/>
                <w:vertAlign w:val="subscript"/>
              </w:rPr>
              <w:t>12</w:t>
            </w:r>
            <w:r>
              <w:rPr>
                <w:rFonts w:ascii="Times New Roman" w:cs="Times New Roman" w:eastAsia="Times New Roman" w:hAnsi="Times New Roman"/>
                <w:sz w:val="13"/>
                <w:szCs w:val="13"/>
                <w:color w:val="auto"/>
              </w:rPr>
              <w:t xml:space="preserve"> (3)</w:t>
            </w:r>
          </w:p>
        </w:tc>
        <w:tc>
          <w:tcPr>
            <w:tcW w:w="220" w:type="dxa"/>
            <w:vAlign w:val="bottom"/>
          </w:tcPr>
          <w:p>
            <w:pPr>
              <w:spacing w:after="0"/>
              <w:rPr>
                <w:sz w:val="22"/>
                <w:szCs w:val="22"/>
                <w:color w:val="auto"/>
              </w:rPr>
            </w:pPr>
          </w:p>
        </w:tc>
        <w:tc>
          <w:tcPr>
            <w:tcW w:w="22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88"/>
              </w:rPr>
              <w:t>*</w:t>
            </w:r>
          </w:p>
        </w:tc>
      </w:tr>
      <w:tr>
        <w:trPr>
          <w:trHeight w:val="257"/>
        </w:trPr>
        <w:tc>
          <w:tcPr>
            <w:tcW w:w="65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Sandra Silberman</w:t>
            </w:r>
          </w:p>
        </w:tc>
        <w:tc>
          <w:tcPr>
            <w:tcW w:w="2260" w:type="dxa"/>
            <w:vAlign w:val="bottom"/>
            <w:shd w:val="clear" w:color="auto" w:fill="EEEEEE"/>
          </w:tcPr>
          <w:p>
            <w:pPr>
              <w:jc w:val="center"/>
              <w:spacing w:after="0" w:line="256" w:lineRule="exact"/>
              <w:rPr>
                <w:sz w:val="20"/>
                <w:szCs w:val="20"/>
                <w:color w:val="auto"/>
              </w:rPr>
            </w:pPr>
            <w:r>
              <w:rPr>
                <w:rFonts w:ascii="Times New Roman" w:cs="Times New Roman" w:eastAsia="Times New Roman" w:hAnsi="Times New Roman"/>
                <w:sz w:val="29"/>
                <w:szCs w:val="29"/>
                <w:color w:val="auto"/>
                <w:vertAlign w:val="subscript"/>
              </w:rPr>
              <w:t>5</w:t>
            </w:r>
            <w:r>
              <w:rPr>
                <w:rFonts w:ascii="Times New Roman" w:cs="Times New Roman" w:eastAsia="Times New Roman" w:hAnsi="Times New Roman"/>
                <w:sz w:val="13"/>
                <w:szCs w:val="13"/>
                <w:color w:val="auto"/>
              </w:rPr>
              <w:t xml:space="preserve"> (4)</w:t>
            </w:r>
          </w:p>
        </w:tc>
        <w:tc>
          <w:tcPr>
            <w:tcW w:w="220" w:type="dxa"/>
            <w:vAlign w:val="bottom"/>
            <w:shd w:val="clear" w:color="auto" w:fill="EEEEEE"/>
          </w:tcPr>
          <w:p>
            <w:pPr>
              <w:spacing w:after="0"/>
              <w:rPr>
                <w:sz w:val="22"/>
                <w:szCs w:val="22"/>
                <w:color w:val="auto"/>
              </w:rPr>
            </w:pPr>
          </w:p>
        </w:tc>
        <w:tc>
          <w:tcPr>
            <w:tcW w:w="2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88"/>
              </w:rPr>
              <w:t>*</w:t>
            </w:r>
          </w:p>
        </w:tc>
      </w:tr>
      <w:tr>
        <w:trPr>
          <w:trHeight w:val="257"/>
        </w:trPr>
        <w:tc>
          <w:tcPr>
            <w:tcW w:w="65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Faith Charles</w:t>
            </w:r>
          </w:p>
        </w:tc>
        <w:tc>
          <w:tcPr>
            <w:tcW w:w="2260" w:type="dxa"/>
            <w:vAlign w:val="bottom"/>
          </w:tcPr>
          <w:p>
            <w:pPr>
              <w:jc w:val="center"/>
              <w:spacing w:after="0" w:line="256" w:lineRule="exact"/>
              <w:rPr>
                <w:sz w:val="20"/>
                <w:szCs w:val="20"/>
                <w:color w:val="auto"/>
              </w:rPr>
            </w:pPr>
            <w:r>
              <w:rPr>
                <w:rFonts w:ascii="Times New Roman" w:cs="Times New Roman" w:eastAsia="Times New Roman" w:hAnsi="Times New Roman"/>
                <w:sz w:val="29"/>
                <w:szCs w:val="29"/>
                <w:color w:val="auto"/>
                <w:vertAlign w:val="subscript"/>
              </w:rPr>
              <w:t>3</w:t>
            </w:r>
            <w:r>
              <w:rPr>
                <w:rFonts w:ascii="Times New Roman" w:cs="Times New Roman" w:eastAsia="Times New Roman" w:hAnsi="Times New Roman"/>
                <w:sz w:val="13"/>
                <w:szCs w:val="13"/>
                <w:color w:val="auto"/>
              </w:rPr>
              <w:t xml:space="preserve"> (5)</w:t>
            </w:r>
          </w:p>
        </w:tc>
        <w:tc>
          <w:tcPr>
            <w:tcW w:w="220" w:type="dxa"/>
            <w:vAlign w:val="bottom"/>
          </w:tcPr>
          <w:p>
            <w:pPr>
              <w:spacing w:after="0"/>
              <w:rPr>
                <w:sz w:val="22"/>
                <w:szCs w:val="22"/>
                <w:color w:val="auto"/>
              </w:rPr>
            </w:pPr>
          </w:p>
        </w:tc>
        <w:tc>
          <w:tcPr>
            <w:tcW w:w="22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88"/>
              </w:rPr>
              <w:t>*</w:t>
            </w:r>
          </w:p>
        </w:tc>
      </w:tr>
      <w:tr>
        <w:trPr>
          <w:trHeight w:val="257"/>
        </w:trPr>
        <w:tc>
          <w:tcPr>
            <w:tcW w:w="65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Jerzy (George) Gumulka</w:t>
            </w:r>
          </w:p>
        </w:tc>
        <w:tc>
          <w:tcPr>
            <w:tcW w:w="2260" w:type="dxa"/>
            <w:vAlign w:val="bottom"/>
            <w:shd w:val="clear" w:color="auto" w:fill="EEEEEE"/>
          </w:tcPr>
          <w:p>
            <w:pPr>
              <w:jc w:val="center"/>
              <w:spacing w:after="0" w:line="256" w:lineRule="exact"/>
              <w:rPr>
                <w:sz w:val="20"/>
                <w:szCs w:val="20"/>
                <w:color w:val="auto"/>
              </w:rPr>
            </w:pPr>
            <w:r>
              <w:rPr>
                <w:rFonts w:ascii="Times New Roman" w:cs="Times New Roman" w:eastAsia="Times New Roman" w:hAnsi="Times New Roman"/>
                <w:sz w:val="29"/>
                <w:szCs w:val="29"/>
                <w:color w:val="auto"/>
                <w:vertAlign w:val="subscript"/>
              </w:rPr>
              <w:t>9</w:t>
            </w:r>
            <w:r>
              <w:rPr>
                <w:rFonts w:ascii="Times New Roman" w:cs="Times New Roman" w:eastAsia="Times New Roman" w:hAnsi="Times New Roman"/>
                <w:sz w:val="13"/>
                <w:szCs w:val="13"/>
                <w:color w:val="auto"/>
              </w:rPr>
              <w:t xml:space="preserve"> (6)</w:t>
            </w:r>
          </w:p>
        </w:tc>
        <w:tc>
          <w:tcPr>
            <w:tcW w:w="220" w:type="dxa"/>
            <w:vAlign w:val="bottom"/>
            <w:shd w:val="clear" w:color="auto" w:fill="EEEEEE"/>
          </w:tcPr>
          <w:p>
            <w:pPr>
              <w:spacing w:after="0"/>
              <w:rPr>
                <w:sz w:val="22"/>
                <w:szCs w:val="22"/>
                <w:color w:val="auto"/>
              </w:rPr>
            </w:pPr>
          </w:p>
        </w:tc>
        <w:tc>
          <w:tcPr>
            <w:tcW w:w="2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88"/>
              </w:rPr>
              <w:t>*</w:t>
            </w:r>
          </w:p>
        </w:tc>
      </w:tr>
      <w:tr>
        <w:trPr>
          <w:trHeight w:val="256"/>
        </w:trPr>
        <w:tc>
          <w:tcPr>
            <w:tcW w:w="65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Jeffry R. Keyes</w:t>
            </w:r>
          </w:p>
        </w:tc>
        <w:tc>
          <w:tcPr>
            <w:tcW w:w="2260" w:type="dxa"/>
            <w:vAlign w:val="bottom"/>
          </w:tcPr>
          <w:p>
            <w:pPr>
              <w:jc w:val="center"/>
              <w:spacing w:after="0" w:line="256" w:lineRule="exact"/>
              <w:rPr>
                <w:sz w:val="20"/>
                <w:szCs w:val="20"/>
                <w:color w:val="auto"/>
              </w:rPr>
            </w:pPr>
            <w:r>
              <w:rPr>
                <w:rFonts w:ascii="Times New Roman" w:cs="Times New Roman" w:eastAsia="Times New Roman" w:hAnsi="Times New Roman"/>
                <w:sz w:val="29"/>
                <w:szCs w:val="29"/>
                <w:color w:val="auto"/>
                <w:vertAlign w:val="subscript"/>
              </w:rPr>
              <w:t>6</w:t>
            </w:r>
            <w:r>
              <w:rPr>
                <w:rFonts w:ascii="Times New Roman" w:cs="Times New Roman" w:eastAsia="Times New Roman" w:hAnsi="Times New Roman"/>
                <w:sz w:val="13"/>
                <w:szCs w:val="13"/>
                <w:color w:val="auto"/>
              </w:rPr>
              <w:t xml:space="preserve"> (7)</w:t>
            </w:r>
          </w:p>
        </w:tc>
        <w:tc>
          <w:tcPr>
            <w:tcW w:w="220" w:type="dxa"/>
            <w:vAlign w:val="bottom"/>
          </w:tcPr>
          <w:p>
            <w:pPr>
              <w:spacing w:after="0"/>
              <w:rPr>
                <w:sz w:val="22"/>
                <w:szCs w:val="22"/>
                <w:color w:val="auto"/>
              </w:rPr>
            </w:pPr>
          </w:p>
        </w:tc>
        <w:tc>
          <w:tcPr>
            <w:tcW w:w="22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88"/>
              </w:rPr>
              <w:t>*</w:t>
            </w:r>
          </w:p>
        </w:tc>
      </w:tr>
      <w:tr>
        <w:trPr>
          <w:trHeight w:val="257"/>
        </w:trPr>
        <w:tc>
          <w:tcPr>
            <w:tcW w:w="65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Bettina Cockroft</w:t>
            </w:r>
          </w:p>
        </w:tc>
        <w:tc>
          <w:tcPr>
            <w:tcW w:w="2260" w:type="dxa"/>
            <w:vAlign w:val="bottom"/>
            <w:shd w:val="clear" w:color="auto" w:fill="EEEEEE"/>
          </w:tcPr>
          <w:p>
            <w:pPr>
              <w:jc w:val="center"/>
              <w:spacing w:after="0" w:line="256" w:lineRule="exact"/>
              <w:rPr>
                <w:sz w:val="20"/>
                <w:szCs w:val="20"/>
                <w:color w:val="auto"/>
              </w:rPr>
            </w:pPr>
            <w:r>
              <w:rPr>
                <w:rFonts w:ascii="Times New Roman" w:cs="Times New Roman" w:eastAsia="Times New Roman" w:hAnsi="Times New Roman"/>
                <w:sz w:val="29"/>
                <w:szCs w:val="29"/>
                <w:color w:val="auto"/>
                <w:vertAlign w:val="subscript"/>
              </w:rPr>
              <w:t>4</w:t>
            </w:r>
            <w:r>
              <w:rPr>
                <w:rFonts w:ascii="Times New Roman" w:cs="Times New Roman" w:eastAsia="Times New Roman" w:hAnsi="Times New Roman"/>
                <w:sz w:val="13"/>
                <w:szCs w:val="13"/>
                <w:color w:val="auto"/>
              </w:rPr>
              <w:t xml:space="preserve"> (8)</w:t>
            </w:r>
          </w:p>
        </w:tc>
        <w:tc>
          <w:tcPr>
            <w:tcW w:w="220" w:type="dxa"/>
            <w:vAlign w:val="bottom"/>
            <w:shd w:val="clear" w:color="auto" w:fill="EEEEEE"/>
          </w:tcPr>
          <w:p>
            <w:pPr>
              <w:spacing w:after="0"/>
              <w:rPr>
                <w:sz w:val="22"/>
                <w:szCs w:val="22"/>
                <w:color w:val="auto"/>
              </w:rPr>
            </w:pPr>
          </w:p>
        </w:tc>
        <w:tc>
          <w:tcPr>
            <w:tcW w:w="2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88"/>
              </w:rPr>
              <w:t>*</w:t>
            </w:r>
          </w:p>
        </w:tc>
      </w:tr>
      <w:tr>
        <w:trPr>
          <w:trHeight w:val="256"/>
        </w:trPr>
        <w:tc>
          <w:tcPr>
            <w:tcW w:w="652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Amy Mahery</w:t>
            </w:r>
          </w:p>
        </w:tc>
        <w:tc>
          <w:tcPr>
            <w:tcW w:w="2260" w:type="dxa"/>
            <w:vAlign w:val="bottom"/>
          </w:tcPr>
          <w:p>
            <w:pPr>
              <w:jc w:val="center"/>
              <w:spacing w:after="0" w:line="256" w:lineRule="exact"/>
              <w:rPr>
                <w:sz w:val="20"/>
                <w:szCs w:val="20"/>
                <w:color w:val="auto"/>
              </w:rPr>
            </w:pPr>
            <w:r>
              <w:rPr>
                <w:rFonts w:ascii="Times New Roman" w:cs="Times New Roman" w:eastAsia="Times New Roman" w:hAnsi="Times New Roman"/>
                <w:sz w:val="29"/>
                <w:szCs w:val="29"/>
                <w:color w:val="auto"/>
                <w:vertAlign w:val="subscript"/>
              </w:rPr>
              <w:t>2</w:t>
            </w:r>
            <w:r>
              <w:rPr>
                <w:rFonts w:ascii="Times New Roman" w:cs="Times New Roman" w:eastAsia="Times New Roman" w:hAnsi="Times New Roman"/>
                <w:sz w:val="13"/>
                <w:szCs w:val="13"/>
                <w:color w:val="auto"/>
              </w:rPr>
              <w:t xml:space="preserve"> (9)</w:t>
            </w:r>
          </w:p>
        </w:tc>
        <w:tc>
          <w:tcPr>
            <w:tcW w:w="220" w:type="dxa"/>
            <w:vAlign w:val="bottom"/>
          </w:tcPr>
          <w:p>
            <w:pPr>
              <w:spacing w:after="0"/>
              <w:rPr>
                <w:sz w:val="22"/>
                <w:szCs w:val="22"/>
                <w:color w:val="auto"/>
              </w:rPr>
            </w:pPr>
          </w:p>
        </w:tc>
        <w:tc>
          <w:tcPr>
            <w:tcW w:w="22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88"/>
              </w:rPr>
              <w:t>*</w:t>
            </w:r>
          </w:p>
        </w:tc>
      </w:tr>
      <w:tr>
        <w:trPr>
          <w:trHeight w:val="216"/>
        </w:trPr>
        <w:tc>
          <w:tcPr>
            <w:tcW w:w="65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Directors and Officers as a group (10 persons)</w:t>
            </w:r>
          </w:p>
        </w:tc>
        <w:tc>
          <w:tcPr>
            <w:tcW w:w="226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71</w:t>
            </w:r>
          </w:p>
        </w:tc>
        <w:tc>
          <w:tcPr>
            <w:tcW w:w="220" w:type="dxa"/>
            <w:vAlign w:val="bottom"/>
            <w:shd w:val="clear" w:color="auto" w:fill="EEEEEE"/>
          </w:tcPr>
          <w:p>
            <w:pPr>
              <w:spacing w:after="0"/>
              <w:rPr>
                <w:sz w:val="18"/>
                <w:szCs w:val="18"/>
                <w:color w:val="auto"/>
              </w:rPr>
            </w:pPr>
          </w:p>
        </w:tc>
        <w:tc>
          <w:tcPr>
            <w:tcW w:w="2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88"/>
              </w:rPr>
              <w:t>*</w:t>
            </w:r>
          </w:p>
        </w:tc>
      </w:tr>
      <w:tr>
        <w:trPr>
          <w:trHeight w:val="216"/>
        </w:trPr>
        <w:tc>
          <w:tcPr>
            <w:tcW w:w="63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40" w:type="dxa"/>
            <w:vAlign w:val="bottom"/>
          </w:tcPr>
          <w:p>
            <w:pPr>
              <w:spacing w:after="0"/>
              <w:rPr>
                <w:sz w:val="18"/>
                <w:szCs w:val="18"/>
                <w:color w:val="auto"/>
              </w:rPr>
            </w:pPr>
          </w:p>
        </w:tc>
      </w:tr>
      <w:tr>
        <w:trPr>
          <w:trHeight w:val="216"/>
        </w:trPr>
        <w:tc>
          <w:tcPr>
            <w:tcW w:w="652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b w:val="1"/>
                <w:bCs w:val="1"/>
                <w:color w:val="auto"/>
              </w:rPr>
              <w:t>5% or greater stockholders</w:t>
            </w:r>
          </w:p>
        </w:tc>
        <w:tc>
          <w:tcPr>
            <w:tcW w:w="2260" w:type="dxa"/>
            <w:vAlign w:val="bottom"/>
            <w:shd w:val="clear" w:color="auto" w:fill="EEEEEE"/>
          </w:tcPr>
          <w:p>
            <w:pPr>
              <w:spacing w:after="0"/>
              <w:rPr>
                <w:sz w:val="18"/>
                <w:szCs w:val="18"/>
                <w:color w:val="auto"/>
              </w:rPr>
            </w:pPr>
          </w:p>
        </w:tc>
        <w:tc>
          <w:tcPr>
            <w:tcW w:w="220" w:type="dxa"/>
            <w:vAlign w:val="bottom"/>
            <w:shd w:val="clear" w:color="auto" w:fill="EEEEEE"/>
          </w:tcPr>
          <w:p>
            <w:pPr>
              <w:spacing w:after="0"/>
              <w:rPr>
                <w:sz w:val="18"/>
                <w:szCs w:val="18"/>
                <w:color w:val="auto"/>
              </w:rPr>
            </w:pPr>
          </w:p>
        </w:tc>
        <w:tc>
          <w:tcPr>
            <w:tcW w:w="2240" w:type="dxa"/>
            <w:vAlign w:val="bottom"/>
            <w:shd w:val="clear" w:color="auto" w:fill="EEEEEE"/>
          </w:tcPr>
          <w:p>
            <w:pPr>
              <w:spacing w:after="0"/>
              <w:rPr>
                <w:sz w:val="18"/>
                <w:szCs w:val="18"/>
                <w:color w:val="auto"/>
              </w:rPr>
            </w:pPr>
          </w:p>
        </w:tc>
      </w:tr>
      <w:tr>
        <w:trPr>
          <w:trHeight w:val="238"/>
        </w:trPr>
        <w:tc>
          <w:tcPr>
            <w:tcW w:w="6520" w:type="dxa"/>
            <w:vAlign w:val="bottom"/>
            <w:gridSpan w:val="2"/>
          </w:tcPr>
          <w:p>
            <w:pPr>
              <w:spacing w:after="0" w:line="239" w:lineRule="exact"/>
              <w:rPr>
                <w:sz w:val="20"/>
                <w:szCs w:val="20"/>
                <w:color w:val="auto"/>
              </w:rPr>
            </w:pPr>
            <w:r>
              <w:rPr>
                <w:rFonts w:ascii="Times New Roman" w:cs="Times New Roman" w:eastAsia="Times New Roman" w:hAnsi="Times New Roman"/>
                <w:sz w:val="17"/>
                <w:szCs w:val="17"/>
                <w:color w:val="auto"/>
              </w:rPr>
              <w:t xml:space="preserve">Armistice Capital, LLC </w:t>
            </w:r>
            <w:r>
              <w:rPr>
                <w:rFonts w:ascii="Times New Roman" w:cs="Times New Roman" w:eastAsia="Times New Roman" w:hAnsi="Times New Roman"/>
                <w:sz w:val="27"/>
                <w:szCs w:val="27"/>
                <w:color w:val="auto"/>
                <w:vertAlign w:val="superscript"/>
              </w:rPr>
              <w:t>(10)</w:t>
            </w:r>
          </w:p>
        </w:tc>
        <w:tc>
          <w:tcPr>
            <w:tcW w:w="226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46,762</w:t>
            </w:r>
          </w:p>
        </w:tc>
        <w:tc>
          <w:tcPr>
            <w:tcW w:w="220" w:type="dxa"/>
            <w:vAlign w:val="bottom"/>
          </w:tcPr>
          <w:p>
            <w:pPr>
              <w:spacing w:after="0"/>
              <w:rPr>
                <w:sz w:val="20"/>
                <w:szCs w:val="20"/>
                <w:color w:val="auto"/>
              </w:rPr>
            </w:pPr>
          </w:p>
        </w:tc>
        <w:tc>
          <w:tcPr>
            <w:tcW w:w="22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5"/>
              </w:rPr>
              <w:t>9.9%</w:t>
            </w:r>
          </w:p>
        </w:tc>
      </w:tr>
      <w:tr>
        <w:trPr>
          <w:trHeight w:val="234"/>
        </w:trPr>
        <w:tc>
          <w:tcPr>
            <w:tcW w:w="6300" w:type="dxa"/>
            <w:vAlign w:val="bottom"/>
          </w:tcPr>
          <w:p>
            <w:pPr>
              <w:spacing w:after="0"/>
              <w:rPr>
                <w:sz w:val="20"/>
                <w:szCs w:val="20"/>
                <w:color w:val="auto"/>
              </w:rPr>
            </w:pPr>
            <w:r>
              <w:rPr>
                <w:rFonts w:ascii="Times New Roman" w:cs="Times New Roman" w:eastAsia="Times New Roman" w:hAnsi="Times New Roman"/>
                <w:sz w:val="18"/>
                <w:szCs w:val="18"/>
                <w:color w:val="auto"/>
              </w:rPr>
              <w:t>______________</w:t>
            </w:r>
          </w:p>
        </w:tc>
        <w:tc>
          <w:tcPr>
            <w:tcW w:w="220" w:type="dxa"/>
            <w:vAlign w:val="bottom"/>
          </w:tcPr>
          <w:p>
            <w:pPr>
              <w:spacing w:after="0"/>
              <w:rPr>
                <w:sz w:val="20"/>
                <w:szCs w:val="20"/>
                <w:color w:val="auto"/>
              </w:rPr>
            </w:pPr>
          </w:p>
        </w:tc>
        <w:tc>
          <w:tcPr>
            <w:tcW w:w="22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240" w:type="dxa"/>
            <w:vAlign w:val="bottom"/>
          </w:tcPr>
          <w:p>
            <w:pPr>
              <w:spacing w:after="0"/>
              <w:rPr>
                <w:sz w:val="20"/>
                <w:szCs w:val="20"/>
                <w:color w:val="auto"/>
              </w:rPr>
            </w:pPr>
          </w:p>
        </w:tc>
      </w:tr>
    </w:tbl>
    <w:p>
      <w:pPr>
        <w:ind w:left="340" w:hanging="332"/>
        <w:spacing w:after="0"/>
        <w:tabs>
          <w:tab w:leader="none" w:pos="340" w:val="left"/>
        </w:tabs>
        <w:numPr>
          <w:ilvl w:val="0"/>
          <w:numId w:val="10"/>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Less than 1%.</w:t>
      </w:r>
    </w:p>
    <w:p>
      <w:pPr>
        <w:spacing w:after="0" w:line="13" w:lineRule="exact"/>
        <w:rPr>
          <w:sz w:val="20"/>
          <w:szCs w:val="20"/>
          <w:color w:val="auto"/>
        </w:rPr>
      </w:pPr>
    </w:p>
    <w:p>
      <w:pPr>
        <w:ind w:left="340" w:hanging="332"/>
        <w:spacing w:after="0"/>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Based on 574,580 shares of common stock outstanding as of October 10, 2025.</w:t>
      </w:r>
    </w:p>
    <w:p>
      <w:pPr>
        <w:spacing w:after="0" w:line="18" w:lineRule="exact"/>
        <w:rPr>
          <w:rFonts w:ascii="Times New Roman" w:cs="Times New Roman" w:eastAsia="Times New Roman" w:hAnsi="Times New Roman"/>
          <w:sz w:val="16"/>
          <w:szCs w:val="16"/>
          <w:color w:val="auto"/>
        </w:rPr>
      </w:pPr>
    </w:p>
    <w:p>
      <w:pPr>
        <w:ind w:left="340" w:hanging="332"/>
        <w:spacing w:after="0" w:line="264" w:lineRule="auto"/>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Includes warrants to purchase 10 shares of common stock which are exercisable within 60 days of October 10, 2025 and options to purchase 6 shares of common stock which are exercisable within 60 days of October 10, 2025.</w:t>
      </w:r>
    </w:p>
    <w:p>
      <w:pPr>
        <w:ind w:left="340" w:hanging="332"/>
        <w:spacing w:after="0" w:line="264" w:lineRule="auto"/>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Includes warrants to purchase 4 shares of common stock which are exercisable within 60 days of October 10, 2025 and options to purchase 5 shares of common stock which are exercisable within 60 days of October 10, 2025.</w:t>
      </w:r>
    </w:p>
    <w:p>
      <w:pPr>
        <w:ind w:left="340" w:hanging="332"/>
        <w:spacing w:after="0"/>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Consists of options to purchase 5 shares of common stock which are exercisable within 60 days of October 10, 2025.</w:t>
      </w:r>
    </w:p>
    <w:p>
      <w:pPr>
        <w:spacing w:after="0" w:line="18" w:lineRule="exact"/>
        <w:rPr>
          <w:rFonts w:ascii="Times New Roman" w:cs="Times New Roman" w:eastAsia="Times New Roman" w:hAnsi="Times New Roman"/>
          <w:sz w:val="16"/>
          <w:szCs w:val="16"/>
          <w:color w:val="auto"/>
        </w:rPr>
      </w:pPr>
    </w:p>
    <w:p>
      <w:pPr>
        <w:ind w:left="340" w:hanging="332"/>
        <w:spacing w:after="0"/>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Consists of options to purchase 3 shares of common stock which are exercisable within 60 days of October 10, 2025.</w:t>
      </w:r>
    </w:p>
    <w:p>
      <w:pPr>
        <w:spacing w:after="0" w:line="18" w:lineRule="exact"/>
        <w:rPr>
          <w:rFonts w:ascii="Times New Roman" w:cs="Times New Roman" w:eastAsia="Times New Roman" w:hAnsi="Times New Roman"/>
          <w:sz w:val="16"/>
          <w:szCs w:val="16"/>
          <w:color w:val="auto"/>
        </w:rPr>
      </w:pPr>
    </w:p>
    <w:p>
      <w:pPr>
        <w:ind w:left="340" w:hanging="332"/>
        <w:spacing w:after="0" w:line="264" w:lineRule="auto"/>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Includes options to purchase 2 shares of common stock which are exercisable within 60 days of October 10, 2025 and options to purchase 5 shares of common stock which are exercisable within 60 days of October 10, 2025.</w:t>
      </w:r>
    </w:p>
    <w:p>
      <w:pPr>
        <w:ind w:left="340" w:hanging="332"/>
        <w:spacing w:after="0"/>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Consists of options to purchase 6 shares of common stock which are exercisable within 60 days of October 10, 2025.</w:t>
      </w:r>
    </w:p>
    <w:p>
      <w:pPr>
        <w:spacing w:after="0" w:line="18" w:lineRule="exact"/>
        <w:rPr>
          <w:rFonts w:ascii="Times New Roman" w:cs="Times New Roman" w:eastAsia="Times New Roman" w:hAnsi="Times New Roman"/>
          <w:sz w:val="16"/>
          <w:szCs w:val="16"/>
          <w:color w:val="auto"/>
        </w:rPr>
      </w:pPr>
    </w:p>
    <w:p>
      <w:pPr>
        <w:ind w:left="340" w:hanging="332"/>
        <w:spacing w:after="0"/>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Consists of options to purchase 4 shares of common stock which are exercisable within 60 days of October 10, 2025.</w:t>
      </w:r>
    </w:p>
    <w:p>
      <w:pPr>
        <w:spacing w:after="0" w:line="18" w:lineRule="exact"/>
        <w:rPr>
          <w:rFonts w:ascii="Times New Roman" w:cs="Times New Roman" w:eastAsia="Times New Roman" w:hAnsi="Times New Roman"/>
          <w:sz w:val="16"/>
          <w:szCs w:val="16"/>
          <w:color w:val="auto"/>
        </w:rPr>
      </w:pPr>
    </w:p>
    <w:p>
      <w:pPr>
        <w:ind w:left="340" w:hanging="332"/>
        <w:spacing w:after="0"/>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Consists of options to purchase 2 shares of common stock which are exercisable within 60 days of October 10, 2025.</w:t>
      </w:r>
    </w:p>
    <w:p>
      <w:pPr>
        <w:spacing w:after="0" w:line="18" w:lineRule="exact"/>
        <w:rPr>
          <w:rFonts w:ascii="Times New Roman" w:cs="Times New Roman" w:eastAsia="Times New Roman" w:hAnsi="Times New Roman"/>
          <w:sz w:val="16"/>
          <w:szCs w:val="16"/>
          <w:color w:val="auto"/>
        </w:rPr>
      </w:pPr>
    </w:p>
    <w:p>
      <w:pPr>
        <w:jc w:val="both"/>
        <w:ind w:left="340" w:hanging="332"/>
        <w:spacing w:after="0" w:line="268" w:lineRule="auto"/>
        <w:tabs>
          <w:tab w:leader="none" w:pos="340" w:val="left"/>
        </w:tabs>
        <w:numPr>
          <w:ilvl w:val="0"/>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Based solely on a Schedule 13G filed with the SEC on August 14, 2025 on behalf of Armistice Capital, LLC and Steven Boyd. Armistice Capital, LLC ("Armistice Capital") is the investment manager of Armistice Capital Master Fund Ltd. (the "Master Fund"), the direct holder of the shares in the table, and pursuant to an Investment Management Agreement, Armistice Capital exercises voting and investment power over our securities held by the Master Fund and thus may be deemed to beneficially own the securities held by the Master Fund. Mr. Boyd, as the managing member of Armistice Capital, may be deemed to beneficially own the securities held by the Master Fund. The Master Fund specifically disclaims beneficial ownership of the securities held by it by virtue of its inability to vote or dispose of such securities as a result of its Investment Management Agreement with Armistice Capital. The address of the principal business office of Armistice Capital and Mr. Boyd is c/o Armistice Capital, LLC 510 Madison Avenue, 7th Floor, New York, New York 10022.</w:t>
      </w:r>
    </w:p>
    <w:p>
      <w:pPr>
        <w:spacing w:after="0" w:line="200" w:lineRule="exact"/>
        <w:rPr>
          <w:sz w:val="20"/>
          <w:szCs w:val="20"/>
          <w:color w:val="auto"/>
        </w:rPr>
      </w:pPr>
    </w:p>
    <w:p>
      <w:pPr>
        <w:spacing w:after="0" w:line="30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0" w:name="page11"/>
    <w:bookmarkEnd w:id="10"/>
    <w:p>
      <w:pPr>
        <w:jc w:val="center"/>
        <w:spacing w:after="0"/>
        <w:rPr>
          <w:sz w:val="20"/>
          <w:szCs w:val="20"/>
          <w:color w:val="auto"/>
        </w:rPr>
      </w:pPr>
      <w:r>
        <w:rPr>
          <w:rFonts w:ascii="Times New Roman" w:cs="Times New Roman" w:eastAsia="Times New Roman" w:hAnsi="Times New Roman"/>
          <w:sz w:val="18"/>
          <w:szCs w:val="18"/>
          <w:b w:val="1"/>
          <w:bCs w:val="1"/>
          <w:color w:val="auto"/>
        </w:rPr>
        <w:t>INFORMATION ABOUT DIRECTORS AND EXECUTIVE OFFICERS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Directors and Executive Officers</w:t>
      </w:r>
    </w:p>
    <w:p>
      <w:pPr>
        <w:spacing w:after="0" w:line="229" w:lineRule="exact"/>
        <w:rPr>
          <w:sz w:val="20"/>
          <w:szCs w:val="20"/>
          <w:color w:val="auto"/>
        </w:rPr>
      </w:pPr>
    </w:p>
    <w:p>
      <w:pPr>
        <w:ind w:right="220"/>
        <w:spacing w:after="0" w:line="282" w:lineRule="auto"/>
        <w:rPr>
          <w:sz w:val="20"/>
          <w:szCs w:val="20"/>
          <w:color w:val="auto"/>
        </w:rPr>
      </w:pPr>
      <w:r>
        <w:rPr>
          <w:rFonts w:ascii="Times New Roman" w:cs="Times New Roman" w:eastAsia="Times New Roman" w:hAnsi="Times New Roman"/>
          <w:sz w:val="18"/>
          <w:szCs w:val="18"/>
          <w:color w:val="auto"/>
        </w:rPr>
        <w:t>The following table sets forth the names and ages of all of our directors and executive officers as of October 10, 2025. Our officers are appointed by, and serve at the pleasure of, the Board of Directors.</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418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Name</w:t>
            </w:r>
          </w:p>
        </w:tc>
        <w:tc>
          <w:tcPr>
            <w:tcW w:w="112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Age</w:t>
            </w:r>
          </w:p>
        </w:tc>
        <w:tc>
          <w:tcPr>
            <w:tcW w:w="594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Position</w:t>
            </w:r>
          </w:p>
        </w:tc>
      </w:tr>
      <w:tr>
        <w:trPr>
          <w:trHeight w:val="209"/>
        </w:trPr>
        <w:tc>
          <w:tcPr>
            <w:tcW w:w="394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John M. Climaco</w:t>
            </w:r>
          </w:p>
        </w:tc>
        <w:tc>
          <w:tcPr>
            <w:tcW w:w="240" w:type="dxa"/>
            <w:vAlign w:val="bottom"/>
            <w:tcBorders>
              <w:top w:val="single" w:sz="8" w:color="EEEEEE"/>
            </w:tcBorders>
            <w:shd w:val="clear" w:color="auto" w:fill="EEEEEE"/>
          </w:tcPr>
          <w:p>
            <w:pPr>
              <w:spacing w:after="0"/>
              <w:rPr>
                <w:sz w:val="18"/>
                <w:szCs w:val="18"/>
                <w:color w:val="auto"/>
              </w:rPr>
            </w:pPr>
          </w:p>
        </w:tc>
        <w:tc>
          <w:tcPr>
            <w:tcW w:w="900" w:type="dxa"/>
            <w:vAlign w:val="bottom"/>
            <w:tcBorders>
              <w:top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56</w:t>
            </w:r>
          </w:p>
        </w:tc>
        <w:tc>
          <w:tcPr>
            <w:tcW w:w="220" w:type="dxa"/>
            <w:vAlign w:val="bottom"/>
            <w:tcBorders>
              <w:top w:val="single" w:sz="8" w:color="EEEEEE"/>
            </w:tcBorders>
            <w:shd w:val="clear" w:color="auto" w:fill="EEEEEE"/>
          </w:tcPr>
          <w:p>
            <w:pPr>
              <w:spacing w:after="0"/>
              <w:rPr>
                <w:sz w:val="18"/>
                <w:szCs w:val="18"/>
                <w:color w:val="auto"/>
              </w:rPr>
            </w:pPr>
          </w:p>
        </w:tc>
        <w:tc>
          <w:tcPr>
            <w:tcW w:w="594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Chief Executive Officer and Director</w:t>
            </w:r>
          </w:p>
        </w:tc>
      </w:tr>
      <w:tr>
        <w:trPr>
          <w:trHeight w:val="216"/>
        </w:trPr>
        <w:tc>
          <w:tcPr>
            <w:tcW w:w="41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Christopher S. Downs</w:t>
            </w:r>
          </w:p>
        </w:tc>
        <w:tc>
          <w:tcPr>
            <w:tcW w:w="9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47</w:t>
            </w:r>
          </w:p>
        </w:tc>
        <w:tc>
          <w:tcPr>
            <w:tcW w:w="220" w:type="dxa"/>
            <w:vAlign w:val="bottom"/>
          </w:tcPr>
          <w:p>
            <w:pPr>
              <w:spacing w:after="0"/>
              <w:rPr>
                <w:sz w:val="18"/>
                <w:szCs w:val="18"/>
                <w:color w:val="auto"/>
              </w:rPr>
            </w:pPr>
          </w:p>
        </w:tc>
        <w:tc>
          <w:tcPr>
            <w:tcW w:w="5940" w:type="dxa"/>
            <w:vAlign w:val="bottom"/>
          </w:tcPr>
          <w:p>
            <w:pPr>
              <w:spacing w:after="0"/>
              <w:rPr>
                <w:sz w:val="20"/>
                <w:szCs w:val="20"/>
                <w:color w:val="auto"/>
              </w:rPr>
            </w:pPr>
            <w:r>
              <w:rPr>
                <w:rFonts w:ascii="Times New Roman" w:cs="Times New Roman" w:eastAsia="Times New Roman" w:hAnsi="Times New Roman"/>
                <w:sz w:val="18"/>
                <w:szCs w:val="18"/>
                <w:color w:val="auto"/>
              </w:rPr>
              <w:t>Chief Financial Officer</w:t>
            </w:r>
          </w:p>
        </w:tc>
      </w:tr>
      <w:tr>
        <w:trPr>
          <w:trHeight w:val="216"/>
        </w:trPr>
        <w:tc>
          <w:tcPr>
            <w:tcW w:w="418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Sandra L. Silberman</w:t>
            </w:r>
          </w:p>
        </w:tc>
        <w:tc>
          <w:tcPr>
            <w:tcW w:w="9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71</w:t>
            </w:r>
          </w:p>
        </w:tc>
        <w:tc>
          <w:tcPr>
            <w:tcW w:w="220" w:type="dxa"/>
            <w:vAlign w:val="bottom"/>
            <w:shd w:val="clear" w:color="auto" w:fill="EEEEEE"/>
          </w:tcPr>
          <w:p>
            <w:pPr>
              <w:spacing w:after="0"/>
              <w:rPr>
                <w:sz w:val="18"/>
                <w:szCs w:val="18"/>
                <w:color w:val="auto"/>
              </w:rPr>
            </w:pPr>
          </w:p>
        </w:tc>
        <w:tc>
          <w:tcPr>
            <w:tcW w:w="59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Chief Medical Officer</w:t>
            </w:r>
          </w:p>
        </w:tc>
      </w:tr>
      <w:tr>
        <w:trPr>
          <w:trHeight w:val="216"/>
        </w:trPr>
        <w:tc>
          <w:tcPr>
            <w:tcW w:w="41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Donald Picker</w:t>
            </w:r>
          </w:p>
        </w:tc>
        <w:tc>
          <w:tcPr>
            <w:tcW w:w="9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80</w:t>
            </w:r>
          </w:p>
        </w:tc>
        <w:tc>
          <w:tcPr>
            <w:tcW w:w="220" w:type="dxa"/>
            <w:vAlign w:val="bottom"/>
          </w:tcPr>
          <w:p>
            <w:pPr>
              <w:spacing w:after="0"/>
              <w:rPr>
                <w:sz w:val="18"/>
                <w:szCs w:val="18"/>
                <w:color w:val="auto"/>
              </w:rPr>
            </w:pPr>
          </w:p>
        </w:tc>
        <w:tc>
          <w:tcPr>
            <w:tcW w:w="5940" w:type="dxa"/>
            <w:vAlign w:val="bottom"/>
          </w:tcPr>
          <w:p>
            <w:pPr>
              <w:spacing w:after="0"/>
              <w:rPr>
                <w:sz w:val="20"/>
                <w:szCs w:val="20"/>
                <w:color w:val="auto"/>
              </w:rPr>
            </w:pPr>
            <w:r>
              <w:rPr>
                <w:rFonts w:ascii="Times New Roman" w:cs="Times New Roman" w:eastAsia="Times New Roman" w:hAnsi="Times New Roman"/>
                <w:sz w:val="18"/>
                <w:szCs w:val="18"/>
                <w:color w:val="auto"/>
              </w:rPr>
              <w:t>Chief Science Officer</w:t>
            </w:r>
          </w:p>
        </w:tc>
      </w:tr>
      <w:tr>
        <w:trPr>
          <w:trHeight w:val="216"/>
        </w:trPr>
        <w:tc>
          <w:tcPr>
            <w:tcW w:w="418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Faith L. Charles</w:t>
            </w:r>
          </w:p>
        </w:tc>
        <w:tc>
          <w:tcPr>
            <w:tcW w:w="9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63</w:t>
            </w:r>
          </w:p>
        </w:tc>
        <w:tc>
          <w:tcPr>
            <w:tcW w:w="220" w:type="dxa"/>
            <w:vAlign w:val="bottom"/>
            <w:shd w:val="clear" w:color="auto" w:fill="EEEEEE"/>
          </w:tcPr>
          <w:p>
            <w:pPr>
              <w:spacing w:after="0"/>
              <w:rPr>
                <w:sz w:val="18"/>
                <w:szCs w:val="18"/>
                <w:color w:val="auto"/>
              </w:rPr>
            </w:pPr>
          </w:p>
        </w:tc>
        <w:tc>
          <w:tcPr>
            <w:tcW w:w="59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Director and Chair of the Board of Directors</w:t>
            </w:r>
          </w:p>
        </w:tc>
      </w:tr>
      <w:tr>
        <w:trPr>
          <w:trHeight w:val="216"/>
        </w:trPr>
        <w:tc>
          <w:tcPr>
            <w:tcW w:w="41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Jerzy (George) Gumulka</w:t>
            </w:r>
          </w:p>
        </w:tc>
        <w:tc>
          <w:tcPr>
            <w:tcW w:w="9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76</w:t>
            </w:r>
          </w:p>
        </w:tc>
        <w:tc>
          <w:tcPr>
            <w:tcW w:w="220" w:type="dxa"/>
            <w:vAlign w:val="bottom"/>
          </w:tcPr>
          <w:p>
            <w:pPr>
              <w:spacing w:after="0"/>
              <w:rPr>
                <w:sz w:val="18"/>
                <w:szCs w:val="18"/>
                <w:color w:val="auto"/>
              </w:rPr>
            </w:pPr>
          </w:p>
        </w:tc>
        <w:tc>
          <w:tcPr>
            <w:tcW w:w="5940" w:type="dxa"/>
            <w:vAlign w:val="bottom"/>
          </w:tcPr>
          <w:p>
            <w:pPr>
              <w:spacing w:after="0"/>
              <w:rPr>
                <w:sz w:val="20"/>
                <w:szCs w:val="20"/>
                <w:color w:val="auto"/>
              </w:rPr>
            </w:pPr>
            <w:r>
              <w:rPr>
                <w:rFonts w:ascii="Times New Roman" w:cs="Times New Roman" w:eastAsia="Times New Roman" w:hAnsi="Times New Roman"/>
                <w:sz w:val="18"/>
                <w:szCs w:val="18"/>
                <w:color w:val="auto"/>
              </w:rPr>
              <w:t>Director</w:t>
            </w:r>
          </w:p>
        </w:tc>
      </w:tr>
      <w:tr>
        <w:trPr>
          <w:trHeight w:val="216"/>
        </w:trPr>
        <w:tc>
          <w:tcPr>
            <w:tcW w:w="418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Jeffry R. Keyes</w:t>
            </w:r>
          </w:p>
        </w:tc>
        <w:tc>
          <w:tcPr>
            <w:tcW w:w="9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52</w:t>
            </w:r>
          </w:p>
        </w:tc>
        <w:tc>
          <w:tcPr>
            <w:tcW w:w="220" w:type="dxa"/>
            <w:vAlign w:val="bottom"/>
            <w:shd w:val="clear" w:color="auto" w:fill="EEEEEE"/>
          </w:tcPr>
          <w:p>
            <w:pPr>
              <w:spacing w:after="0"/>
              <w:rPr>
                <w:sz w:val="18"/>
                <w:szCs w:val="18"/>
                <w:color w:val="auto"/>
              </w:rPr>
            </w:pPr>
          </w:p>
        </w:tc>
        <w:tc>
          <w:tcPr>
            <w:tcW w:w="59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Director</w:t>
            </w:r>
          </w:p>
        </w:tc>
      </w:tr>
      <w:tr>
        <w:trPr>
          <w:trHeight w:val="216"/>
        </w:trPr>
        <w:tc>
          <w:tcPr>
            <w:tcW w:w="41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Bettina Cockroft</w:t>
            </w:r>
          </w:p>
        </w:tc>
        <w:tc>
          <w:tcPr>
            <w:tcW w:w="9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58</w:t>
            </w:r>
          </w:p>
        </w:tc>
        <w:tc>
          <w:tcPr>
            <w:tcW w:w="220" w:type="dxa"/>
            <w:vAlign w:val="bottom"/>
          </w:tcPr>
          <w:p>
            <w:pPr>
              <w:spacing w:after="0"/>
              <w:rPr>
                <w:sz w:val="18"/>
                <w:szCs w:val="18"/>
                <w:color w:val="auto"/>
              </w:rPr>
            </w:pPr>
          </w:p>
        </w:tc>
        <w:tc>
          <w:tcPr>
            <w:tcW w:w="5940" w:type="dxa"/>
            <w:vAlign w:val="bottom"/>
          </w:tcPr>
          <w:p>
            <w:pPr>
              <w:spacing w:after="0"/>
              <w:rPr>
                <w:sz w:val="20"/>
                <w:szCs w:val="20"/>
                <w:color w:val="auto"/>
              </w:rPr>
            </w:pPr>
            <w:r>
              <w:rPr>
                <w:rFonts w:ascii="Times New Roman" w:cs="Times New Roman" w:eastAsia="Times New Roman" w:hAnsi="Times New Roman"/>
                <w:sz w:val="18"/>
                <w:szCs w:val="18"/>
                <w:color w:val="auto"/>
              </w:rPr>
              <w:t>Director</w:t>
            </w:r>
          </w:p>
        </w:tc>
      </w:tr>
      <w:tr>
        <w:trPr>
          <w:trHeight w:val="216"/>
        </w:trPr>
        <w:tc>
          <w:tcPr>
            <w:tcW w:w="418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8"/>
                <w:szCs w:val="18"/>
                <w:color w:val="auto"/>
              </w:rPr>
              <w:t>Amy Mahery</w:t>
            </w:r>
          </w:p>
        </w:tc>
        <w:tc>
          <w:tcPr>
            <w:tcW w:w="9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48</w:t>
            </w:r>
          </w:p>
        </w:tc>
        <w:tc>
          <w:tcPr>
            <w:tcW w:w="220" w:type="dxa"/>
            <w:vAlign w:val="bottom"/>
            <w:shd w:val="clear" w:color="auto" w:fill="EEEEEE"/>
          </w:tcPr>
          <w:p>
            <w:pPr>
              <w:spacing w:after="0"/>
              <w:rPr>
                <w:sz w:val="18"/>
                <w:szCs w:val="18"/>
                <w:color w:val="auto"/>
              </w:rPr>
            </w:pPr>
          </w:p>
        </w:tc>
        <w:tc>
          <w:tcPr>
            <w:tcW w:w="59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Director</w:t>
            </w:r>
          </w:p>
        </w:tc>
      </w:tr>
    </w:tbl>
    <w:p>
      <w:pPr>
        <w:spacing w:after="0" w:line="198"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Set forth below is biographical information about each of the individuals named in the tables above:</w:t>
      </w:r>
    </w:p>
    <w:p>
      <w:pPr>
        <w:spacing w:after="0" w:line="221" w:lineRule="exact"/>
        <w:rPr>
          <w:sz w:val="20"/>
          <w:szCs w:val="20"/>
          <w:color w:val="auto"/>
        </w:rPr>
      </w:pPr>
    </w:p>
    <w:p>
      <w:pPr>
        <w:jc w:val="both"/>
        <w:ind w:firstLine="648"/>
        <w:spacing w:after="0" w:line="253" w:lineRule="auto"/>
        <w:rPr>
          <w:sz w:val="20"/>
          <w:szCs w:val="20"/>
          <w:color w:val="auto"/>
        </w:rPr>
      </w:pPr>
      <w:r>
        <w:rPr>
          <w:rFonts w:ascii="Times New Roman" w:cs="Times New Roman" w:eastAsia="Times New Roman" w:hAnsi="Times New Roman"/>
          <w:sz w:val="18"/>
          <w:szCs w:val="18"/>
          <w:b w:val="1"/>
          <w:bCs w:val="1"/>
          <w:i w:val="1"/>
          <w:iCs w:val="1"/>
          <w:color w:val="auto"/>
        </w:rPr>
        <w:t>John M. Climaco, Esq. – Chief Executive Officer and Director</w:t>
      </w:r>
      <w:r>
        <w:rPr>
          <w:rFonts w:ascii="Times New Roman" w:cs="Times New Roman" w:eastAsia="Times New Roman" w:hAnsi="Times New Roman"/>
          <w:sz w:val="18"/>
          <w:szCs w:val="18"/>
          <w:color w:val="auto"/>
        </w:rPr>
        <w:t>. Mr. Climaco joined CNS in September 2017 as its Chief Executive Officer. Mr.</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Climaco has served in leadership roles in a variety of healthcare companies. From April 2015 to June 2017 Mr. Climaco served as the Executive Vice-President of Perma-Fix Medical S.A where he managed the development of a novel method to produce Technitium-99. Mr. Climaco also served as President and CEO of Axial Biotech, Inc., a DNA diagnostics company, from January 2003 to January 2013. In the process of taking Axial from inception to product development to commercialization, Mr. Climaco created strategic partnerships with Medtronic, Johnson &amp; Johnson and Smith &amp; Nephew. Mr. Climaco currently serves as a director of several public companies including Moleculin Biotech, Inc., a pharmaceutical company focused on anticancer drug candidates, where he has served since May 2017. Mr. Climaco served on the boards of Digirad, Inc., a leading national provider of imaging services, from May 2012 until April 2020, and Birner Dental Management Services, Inc., a provider of practice management services in the dental industry, since June 2017. Mr. Climaco also served as a director of PDI, Inc., a provider of outsourced commercial services to pharma companies, in 2015, and InfuSystem Holdings, Inc., the largest supplier of infusion services to oncologists in the U.S., from April 2012 to April 2014. Mr. Climaco obtained his Juris Doctorate Degree from the University of California Hastings College of Law in San Francisco, CA in January 2000 and a Bachelor of Philosophy from Middlebury College in Middlebury, VT, in May 1991. Mr. Climaco is active with the State Bar of Utah. We believe Mr. Climaco’s history with our company, coupled with his vast experience with development stage companies and his legal background provides him with the qualifications to serve as a director.</w:t>
      </w:r>
    </w:p>
    <w:p>
      <w:pPr>
        <w:spacing w:after="0" w:line="187" w:lineRule="exact"/>
        <w:rPr>
          <w:sz w:val="20"/>
          <w:szCs w:val="20"/>
          <w:color w:val="auto"/>
        </w:rPr>
      </w:pPr>
    </w:p>
    <w:p>
      <w:pPr>
        <w:jc w:val="both"/>
        <w:ind w:firstLine="648"/>
        <w:spacing w:after="0" w:line="254" w:lineRule="auto"/>
        <w:rPr>
          <w:sz w:val="20"/>
          <w:szCs w:val="20"/>
          <w:color w:val="auto"/>
        </w:rPr>
      </w:pPr>
      <w:r>
        <w:rPr>
          <w:rFonts w:ascii="Times New Roman" w:cs="Times New Roman" w:eastAsia="Times New Roman" w:hAnsi="Times New Roman"/>
          <w:sz w:val="18"/>
          <w:szCs w:val="18"/>
          <w:b w:val="1"/>
          <w:bCs w:val="1"/>
          <w:i w:val="1"/>
          <w:iCs w:val="1"/>
          <w:color w:val="auto"/>
        </w:rPr>
        <w:t xml:space="preserve">Christopher S. Downs, CPA – Chief Financial Officer. </w:t>
      </w:r>
      <w:r>
        <w:rPr>
          <w:rFonts w:ascii="Times New Roman" w:cs="Times New Roman" w:eastAsia="Times New Roman" w:hAnsi="Times New Roman"/>
          <w:sz w:val="18"/>
          <w:szCs w:val="18"/>
          <w:color w:val="auto"/>
        </w:rPr>
        <w:t>Mr. Downs has served as our chief financial officer since the closing of our initial public</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offering in November 2019 (the “IPO”). From March 2018 until September 2019, Mr. Downs served as vice president of finance and treasurer of Innovative Aftermarket Systems, L.P., a privately held provider of finance and insurance solutions. Mr. Downs served as director of finance (from June 2011 to September 2013), vice president and treasurer (October 2013 to August 2016), executive vice president and interim chief financial officer (August 2016 to May 2017), and executive vice president, interim chief financial officer and member of the office of the president (May 2017 to March 2018) for InfuSystem Holdings, Inc., a supplier of infusion services to oncologists in the United States. Mr. Downs spent 10 years in investment banking with various firms including Citigroup. Mr. Downs served as a director of EBET, Inc., a technology company developing and operating platforms focused on esports and competitive gaming, from March 2021 to July 2024. Mr. Downs is a graduate of the United States Military Academy at West Point where he earned his Bachelor of Science. Mr. Downs earned his MBA at Columbia Business School and his Master of Science in Accounting at the University of Houston-Clear Lake. Mr. Downs is a Certified Public Accountant in Utah and Texas.</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1" w:name="page12"/>
    <w:bookmarkEnd w:id="11"/>
    <w:p>
      <w:pPr>
        <w:jc w:val="both"/>
        <w:ind w:firstLine="648"/>
        <w:spacing w:after="0" w:line="256" w:lineRule="auto"/>
        <w:rPr>
          <w:sz w:val="20"/>
          <w:szCs w:val="20"/>
          <w:color w:val="auto"/>
        </w:rPr>
      </w:pPr>
      <w:r>
        <w:rPr>
          <w:rFonts w:ascii="Times New Roman" w:cs="Times New Roman" w:eastAsia="Times New Roman" w:hAnsi="Times New Roman"/>
          <w:sz w:val="18"/>
          <w:szCs w:val="18"/>
          <w:b w:val="1"/>
          <w:bCs w:val="1"/>
          <w:i w:val="1"/>
          <w:iCs w:val="1"/>
          <w:color w:val="auto"/>
        </w:rPr>
        <w:t>Sandra L. Silberman, MD PhD – Chief Medical Officer</w:t>
      </w:r>
      <w:r>
        <w:rPr>
          <w:rFonts w:ascii="Times New Roman" w:cs="Times New Roman" w:eastAsia="Times New Roman" w:hAnsi="Times New Roman"/>
          <w:sz w:val="18"/>
          <w:szCs w:val="18"/>
          <w:color w:val="auto"/>
        </w:rPr>
        <w:t>. Dr. Silberman joined CNS in December 2017. Dr. Silberman served as chief medical</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officer for new products of Moleculin Biotech, Inc. from November 2017 to December 2024 on a part-time basis. Dr. Silberman advanced several original, proprietary compounds into Phases I through III during her work with leading biopharmaceutical companies, including BristolMyers Squibb, AstraZeneca, Imclone and Roche. Dr. Silberman is a Hematologist/Oncologist who earned her B.A., Sc.M. and Ph.D. from the Johns Hopkins University School of Arts and Sciences, School of Public Health and School of Medicine, respectively, and her M.D. from Cornell University Medical College, and then completed both a clinical fellowship in Hematology/Oncology as well as a research fellowship in tumor immunology at the Brigham &amp; Women’s Hospital and the Dana Farber Cancer Institute in Boston, MA.</w:t>
      </w:r>
    </w:p>
    <w:p>
      <w:pPr>
        <w:spacing w:after="0" w:line="183" w:lineRule="exact"/>
        <w:rPr>
          <w:sz w:val="20"/>
          <w:szCs w:val="20"/>
          <w:color w:val="auto"/>
        </w:rPr>
      </w:pPr>
    </w:p>
    <w:p>
      <w:pPr>
        <w:jc w:val="both"/>
        <w:ind w:firstLine="648"/>
        <w:spacing w:after="0" w:line="256" w:lineRule="auto"/>
        <w:rPr>
          <w:sz w:val="20"/>
          <w:szCs w:val="20"/>
          <w:color w:val="auto"/>
        </w:rPr>
      </w:pPr>
      <w:r>
        <w:rPr>
          <w:rFonts w:ascii="Times New Roman" w:cs="Times New Roman" w:eastAsia="Times New Roman" w:hAnsi="Times New Roman"/>
          <w:sz w:val="18"/>
          <w:szCs w:val="18"/>
          <w:b w:val="1"/>
          <w:bCs w:val="1"/>
          <w:i w:val="1"/>
          <w:iCs w:val="1"/>
          <w:color w:val="auto"/>
        </w:rPr>
        <w:t>Donald Picker, PhD - Chief Science Officer</w:t>
      </w:r>
      <w:r>
        <w:rPr>
          <w:rFonts w:ascii="Times New Roman" w:cs="Times New Roman" w:eastAsia="Times New Roman" w:hAnsi="Times New Roman"/>
          <w:sz w:val="18"/>
          <w:szCs w:val="18"/>
          <w:color w:val="auto"/>
        </w:rPr>
        <w:t>. Dr. Picker has served as our part-time chief science officer since June 2019. Dr. Picker has served as</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the chief scientific officer of Moleculin Biotech, Inc. since August 2017 after serving as its chief operating officer from July 2015 until August 2017 and as its president from January 2016 to August 2017. In 2007, Dr. Picker became the chief executive officer of IntertechBio Corp. From 2006 through 2007, Dr. Picker was the President of Tapestry Pharmaceuticals. From 1998 to 2003, Dr. Picker was CEO of Synergy Pharmaceuticals. Synergy was merged into Callisto Pharmaceuticals where he was vice president of research and development until 2006. From 2017 to 2018, Dr. Picker served on our board of directors. Dr. Picker received his B.S. degree from Brooklyn Polytechnic University and his PhD from SUNY Albany in 1975. Dr. Picker is currently devoting only 25% of his work time to us and provides services as needed to us.</w:t>
      </w:r>
    </w:p>
    <w:p>
      <w:pPr>
        <w:spacing w:after="0" w:line="183" w:lineRule="exact"/>
        <w:rPr>
          <w:sz w:val="20"/>
          <w:szCs w:val="20"/>
          <w:color w:val="auto"/>
        </w:rPr>
      </w:pPr>
    </w:p>
    <w:p>
      <w:pPr>
        <w:jc w:val="both"/>
        <w:ind w:firstLine="648"/>
        <w:spacing w:after="0" w:line="252" w:lineRule="auto"/>
        <w:rPr>
          <w:sz w:val="20"/>
          <w:szCs w:val="20"/>
          <w:color w:val="auto"/>
        </w:rPr>
      </w:pPr>
      <w:r>
        <w:rPr>
          <w:rFonts w:ascii="Times New Roman" w:cs="Times New Roman" w:eastAsia="Times New Roman" w:hAnsi="Times New Roman"/>
          <w:sz w:val="18"/>
          <w:szCs w:val="18"/>
          <w:b w:val="1"/>
          <w:bCs w:val="1"/>
          <w:i w:val="1"/>
          <w:iCs w:val="1"/>
          <w:color w:val="auto"/>
        </w:rPr>
        <w:t>Faith L. Charles, JD – Director and Chair of the Board of Directors</w:t>
      </w:r>
      <w:r>
        <w:rPr>
          <w:rFonts w:ascii="Times New Roman" w:cs="Times New Roman" w:eastAsia="Times New Roman" w:hAnsi="Times New Roman"/>
          <w:sz w:val="18"/>
          <w:szCs w:val="18"/>
          <w:color w:val="auto"/>
        </w:rPr>
        <w:t>. Ms. Charles joined our board of directors on December 30, 2022 and</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currently serves as chair of the board of directors. Ms. Charles has been a corporate transactions and securities partner at the law firm of Thompson Hine, LLP, since 2010. She leads Thompson Hine’s Life Sciences practice and co-heads the securities practice, advising public and emerging biotech and pharmaceutical companies in the U.S. and internationally. Ms. Charles negotiates complex private and public financing transactions, mergers and acquisitions, licensing transactions and strategic collaborations. She serves as outside counsel to a myriad of life sciences companies and is known in the industry as an astute business advisor, providing valuable insights into capital markets, corporate governance and strategic development. From 2025 to present, Ms. Charles has served on the board of directors and as a member of the compensation committee and chair of the nominating and governance committee of Abeona Therapeutics, Inc., a publicly traded biotechnology company. From 2021 to present, Ms. Charles has served on the board of directors and as a member of the audit committee and as a member of the compensation committee of Avenue Therapeutics, Inc., a publicly traded biotechnology company. From 2018 until October 2021, Ms. Charles served on the board of directors and as a member of the audit committee and chair of the compensation committee of Entera Bio, a publicly traded biotechnology company. She also serves on the Board of Directors of several private life science companies. Ms. Charles founded the Women in Bio Metro New York chapter and chaired the chapter for five years. She currently serves on the national board of Women in Bio. Ms. Charles is also a member of the board of Red Door Community (formerly Gilda’s Club New York City). She has been recognized as a Life Sciences Star by Euromoney’s LMG Life Sciences, has been named a BTI Client Service All-Star, and was named by Crain’s New York Business to the list of 2020 Notable Women in the Law. Ms. Charles holds a J.D. degree from The George Washington University Law School and a B.A. in Psychology from Barnard College, Columbia University. Ms. Charles is a graduate of Women in Bio’s Boardroom Ready Program, an Executive Education Program taught by The George Washington University School of Business. Ms. Charles qualifications to serve on our Board include her leadership skills and her vast legal experience representing companies in the biotech and pharmaceutical field.</w:t>
      </w:r>
    </w:p>
    <w:p>
      <w:pPr>
        <w:spacing w:after="0" w:line="192" w:lineRule="exact"/>
        <w:rPr>
          <w:sz w:val="20"/>
          <w:szCs w:val="20"/>
          <w:color w:val="auto"/>
        </w:rPr>
      </w:pPr>
    </w:p>
    <w:p>
      <w:pPr>
        <w:jc w:val="both"/>
        <w:ind w:firstLine="648"/>
        <w:spacing w:after="0" w:line="254" w:lineRule="auto"/>
        <w:rPr>
          <w:sz w:val="20"/>
          <w:szCs w:val="20"/>
          <w:color w:val="auto"/>
        </w:rPr>
      </w:pPr>
      <w:r>
        <w:rPr>
          <w:rFonts w:ascii="Times New Roman" w:cs="Times New Roman" w:eastAsia="Times New Roman" w:hAnsi="Times New Roman"/>
          <w:sz w:val="18"/>
          <w:szCs w:val="18"/>
          <w:b w:val="1"/>
          <w:bCs w:val="1"/>
          <w:i w:val="1"/>
          <w:iCs w:val="1"/>
          <w:color w:val="auto"/>
        </w:rPr>
        <w:t>Jerzy (George) Gumulka, PhD – Director</w:t>
      </w:r>
      <w:r>
        <w:rPr>
          <w:rFonts w:ascii="Times New Roman" w:cs="Times New Roman" w:eastAsia="Times New Roman" w:hAnsi="Times New Roman"/>
          <w:sz w:val="18"/>
          <w:szCs w:val="18"/>
          <w:color w:val="auto"/>
        </w:rPr>
        <w:t>. Dr. Gumulka joined our board of directors on November 8, 2017. Dr. Gumulka has been retired since</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2016. From 2001 until his retirement, he served as a Global Technology Manager ASC, a Technology Manager, Special Projects/New Technology Platforms, Kraton Polymers US LLC, and a Technical Director of Kraton Polymers do Brasil. Prior to his employment at Shell Chemical Company and Kraton Polymers US LLC, Dr. Gumulka worked at BioSpectrum, Inc. (aka IML) and was involved in the development and application of Human Immune Interferon (INF-γ) and Interleukin-2 in the HIV-focused clinical studies and animal models. Dr. Gumulka co-authored patents on the production and purification of INF-γ and Interleukin-2, and in the field of analytical chemistry, environmental and polymer science. Dr. Gumulka is the recipient of the 2011 Presidential Green Chemistry Challenge Award. Dr. Gumulka served on the Board of Directors of Moleculin LLC from 2010 through 2016. Dr. Gumulka received a Ph.D. from the University of Warsaw, Warsaw, Poland. We believe Dr. Gumulka’s technical knowledge and experience in the field of biochemistry coupled with his vast experience in corporate leadership provide him with the qualifications to serve as a director.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2" w:name="page13"/>
    <w:bookmarkEnd w:id="12"/>
    <w:p>
      <w:pPr>
        <w:jc w:val="both"/>
        <w:ind w:firstLine="648"/>
        <w:spacing w:after="0" w:line="253" w:lineRule="auto"/>
        <w:rPr>
          <w:sz w:val="20"/>
          <w:szCs w:val="20"/>
          <w:color w:val="auto"/>
        </w:rPr>
      </w:pPr>
      <w:r>
        <w:rPr>
          <w:rFonts w:ascii="Times New Roman" w:cs="Times New Roman" w:eastAsia="Times New Roman" w:hAnsi="Times New Roman"/>
          <w:sz w:val="18"/>
          <w:szCs w:val="18"/>
          <w:b w:val="1"/>
          <w:bCs w:val="1"/>
          <w:i w:val="1"/>
          <w:iCs w:val="1"/>
          <w:color w:val="auto"/>
        </w:rPr>
        <w:t>Jeffry R. Keyes – Director</w:t>
      </w:r>
      <w:r>
        <w:rPr>
          <w:rFonts w:ascii="Times New Roman" w:cs="Times New Roman" w:eastAsia="Times New Roman" w:hAnsi="Times New Roman"/>
          <w:sz w:val="18"/>
          <w:szCs w:val="18"/>
          <w:color w:val="auto"/>
        </w:rPr>
        <w:t>. Mr. Keyes joined our board on June 25, 2018. Mr. Keyes is currently the Chief Financial Officer of Quantum-Si</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Incorporated, a publicly-held proteomics company, a role that he has held since May 2023. From August 2022 to May 2023, Mr. Keyes was the Chief Financial Officer of Spinal Elements, Inc., a private equity backed medical device company. From April 2018 to August 2022, Mr. Keyes was the Chief Financial Officer of Custopharm, Inc., a private equity backed developer of generic sterile injectable pharmaceuticals. From September 2012 to April 2018, Mr. Keyes was the Chief Financial Officer and Corporate Secretary of Digirad Corporation, a publicly traded healthcare services and medical device company. From August 2011 until September 2012, Mr. Keyes was Corporate Controller of Sapphire Energy, Inc., a venture capital backed start-up renewable energy company. From April 2011 to August 2011, Mr. Keyes was the Corporate Controller of Advanced BioHealing, Inc., a venture backed provider of regenerative medicine solutions, until its sale to Shire, PLC in August 2011. Prior to April 2011 Mr. Keyes held a variety of leadership roles in healthcare and medical device companies in finance, accounting, and M&amp;A support, and he started his career in public accounting. Mr. Keyes earned a B.A. degree in accounting from Western Washington University and is a certified public accountant licensed by the Washington State Board of Accountancy. Mr. Keyes is considered a financial expert under relevant rules of the SEC, the NYSE and Nasdaq. We believe Mr. Keyes’ financial knowledge and experience, which qualify him as an Audit Committee Financial Expert, coupled with his vast experience in corporate leadership provides him with the qualifications to serve as a director.</w:t>
      </w:r>
    </w:p>
    <w:p>
      <w:pPr>
        <w:spacing w:after="0" w:line="187" w:lineRule="exact"/>
        <w:rPr>
          <w:sz w:val="20"/>
          <w:szCs w:val="20"/>
          <w:color w:val="auto"/>
        </w:rPr>
      </w:pPr>
    </w:p>
    <w:p>
      <w:pPr>
        <w:jc w:val="both"/>
        <w:ind w:firstLine="648"/>
        <w:spacing w:after="0" w:line="253" w:lineRule="auto"/>
        <w:rPr>
          <w:sz w:val="20"/>
          <w:szCs w:val="20"/>
          <w:color w:val="auto"/>
        </w:rPr>
      </w:pPr>
      <w:r>
        <w:rPr>
          <w:rFonts w:ascii="Times New Roman" w:cs="Times New Roman" w:eastAsia="Times New Roman" w:hAnsi="Times New Roman"/>
          <w:sz w:val="18"/>
          <w:szCs w:val="18"/>
          <w:b w:val="1"/>
          <w:bCs w:val="1"/>
          <w:i w:val="1"/>
          <w:iCs w:val="1"/>
          <w:color w:val="auto"/>
        </w:rPr>
        <w:t xml:space="preserve">Bettina M. Cockroft, MD – Director. </w:t>
      </w:r>
      <w:r>
        <w:rPr>
          <w:rFonts w:ascii="Times New Roman" w:cs="Times New Roman" w:eastAsia="Times New Roman" w:hAnsi="Times New Roman"/>
          <w:sz w:val="18"/>
          <w:szCs w:val="18"/>
          <w:color w:val="auto"/>
        </w:rPr>
        <w:t>Dr. Cockroft joined our board on May 3, 2023. Since January 2025, Dr. Cockroft serves as Chief Medical</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Officer of Cilcare Inc., a biotech company developing therapeutics for hearing disorders. From September 2019 to May 2023, Dr. Cockroft was Senior Vice President and Chief Medical Officer of Sangamo Therapeutics, Inc., a publicly-held biotechnology company, where she oversaw clinical development activities and operations. She has over 20 years of experience in the biopharmaceutical industry and has worked across multiple therapeutic areas and led programs in several countries. Prior to joining Sangamo, Dr. Cockroft served on the senior leadership team at Cytokinetics, Inc., a publicly-held biopharmaceutical company, where she was responsible for clinical development of fast skeletal muscle troponin activators in diseases such as Amyotrophic Lateral Sclerosis and Spinal Muscular Atrophy. She served as Vice President, Clinical Research, Neurology, at Cytokinetics from August 2017 to September 2019. From October 2016 to July 2017, Dr. Cockroft served as a pharmaceutical executive consultant, and before that, from September 2013 to September 2016, she served as Chief Medical Officer of Auris Medical AG, a biopharmaceutical company, where she led and grew the clinical development team responsible for two Phase 3 programs. Dr. Cockroft also held roles of increasing responsibility at Merck Serono S.A., Novartis Consumer Health and Menarini Ricerche earlier in her career. Dr. Cockroft has served as a member of the board of directors of Annexon, Inc. since January 2022 including serving as a member of the audit committee and the science and technology committee. Dr. Cockroft received a M.B.A. from MIT Sloan School of Management and a M.D. from the University of Genova. We believe Dr. Cockroft’s extensive experience in the biotechnology field provides her with the qualifications to serve as a director.</w:t>
      </w:r>
    </w:p>
    <w:p>
      <w:pPr>
        <w:spacing w:after="0" w:line="185" w:lineRule="exact"/>
        <w:rPr>
          <w:sz w:val="20"/>
          <w:szCs w:val="20"/>
          <w:color w:val="auto"/>
        </w:rPr>
      </w:pPr>
    </w:p>
    <w:p>
      <w:pPr>
        <w:jc w:val="both"/>
        <w:ind w:firstLine="648"/>
        <w:spacing w:after="0" w:line="257" w:lineRule="auto"/>
        <w:rPr>
          <w:sz w:val="20"/>
          <w:szCs w:val="20"/>
          <w:color w:val="auto"/>
        </w:rPr>
      </w:pPr>
      <w:r>
        <w:rPr>
          <w:rFonts w:ascii="Times New Roman" w:cs="Times New Roman" w:eastAsia="Times New Roman" w:hAnsi="Times New Roman"/>
          <w:sz w:val="18"/>
          <w:szCs w:val="18"/>
          <w:b w:val="1"/>
          <w:bCs w:val="1"/>
          <w:i w:val="1"/>
          <w:iCs w:val="1"/>
          <w:color w:val="auto"/>
        </w:rPr>
        <w:t>Amy Mahery – Director</w:t>
      </w:r>
      <w:r>
        <w:rPr>
          <w:rFonts w:ascii="Times New Roman" w:cs="Times New Roman" w:eastAsia="Times New Roman" w:hAnsi="Times New Roman"/>
          <w:sz w:val="18"/>
          <w:szCs w:val="18"/>
          <w:color w:val="auto"/>
        </w:rPr>
        <w:t>. Ms. Mahery joined our board on February 1, 2024. Since February 2025, Ms. Mahery has served as Chief Marketing</w:t>
      </w:r>
      <w:r>
        <w:rPr>
          <w:rFonts w:ascii="Times New Roman" w:cs="Times New Roman" w:eastAsia="Times New Roman" w:hAnsi="Times New Roman"/>
          <w:sz w:val="18"/>
          <w:szCs w:val="18"/>
          <w:b w:val="1"/>
          <w:bCs w:val="1"/>
          <w:i w:val="1"/>
          <w:iCs w:val="1"/>
          <w:color w:val="auto"/>
        </w:rPr>
        <w:t xml:space="preserve"> </w:t>
      </w:r>
      <w:r>
        <w:rPr>
          <w:rFonts w:ascii="Times New Roman" w:cs="Times New Roman" w:eastAsia="Times New Roman" w:hAnsi="Times New Roman"/>
          <w:sz w:val="18"/>
          <w:szCs w:val="18"/>
          <w:color w:val="auto"/>
        </w:rPr>
        <w:t>Officer of Moderna, Inc. From August 2022 to December 2024, Ms. Mahery served as Chief Commercial Officer of Roivant Sciences.. From April 2021 until July 2022, Ms. Mahery served as Senior Vice President, Global Franchise Head – Neurology &amp; Immunology for EMD Serono, Inc. and from 2019 until 2021 Ms. Mahery served as Senior Vice President, Head – Global Market Access and Pricing for EMD Serono, Inc. Ms. Mahery holds a B.S. degree in Neuroscience from Trinity College-Hartford. We believe Ms. Mahery’s extensive experience in the biopharmaceuticals industry provides her with the qualifications to serve as a director.</w:t>
      </w:r>
    </w:p>
    <w:p>
      <w:pPr>
        <w:spacing w:after="0" w:line="18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No director is related to any other director or executive officer of our company or our subsidiaries, and, there are no arrangements or understandings between a director and any other person pursuant to which such person was elected as director.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3" w:name="page14"/>
    <w:bookmarkEnd w:id="13"/>
    <w:p>
      <w:pPr>
        <w:jc w:val="center"/>
        <w:spacing w:after="0"/>
        <w:rPr>
          <w:sz w:val="20"/>
          <w:szCs w:val="20"/>
          <w:color w:val="auto"/>
        </w:rPr>
      </w:pPr>
      <w:r>
        <w:rPr>
          <w:rFonts w:ascii="Times New Roman" w:cs="Times New Roman" w:eastAsia="Times New Roman" w:hAnsi="Times New Roman"/>
          <w:sz w:val="18"/>
          <w:szCs w:val="18"/>
          <w:b w:val="1"/>
          <w:bCs w:val="1"/>
          <w:color w:val="auto"/>
        </w:rPr>
        <w:t>GOVERNANCE OF THE COMPANY</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Our Board of Directors</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Our Board of Directors oversees the business affairs of CNS Pharmaceuticals and monitors the performance of management. Pursuant to our Amended and Restated Bylaws, the Board of Directors shall consist of no less than one director. Members of the Board of Directors discussed various business matters informally on numerous occasions throughout the year 2024. During 2024 the Board held 23 meetings. In addition to meetings of the full Board of Directors, our Board has established an Audit Committee, Compensation Committee, Pricing Committee and Nominating and Corporate Governance Committee. During 2024, these Board committees held an additional 19 meetings during the year. Specifically, the breakdown of the committee meetings for 2024 are as follows: 12 for the Audit Committee, 4 for the Compensation Committee, 1 for the Pricing Committee and 2 for the Nominating and Corporate Governance Committee. We believe that such interaction between fellow Board members and with management provided proper oversight of the Company. Each incumbent director attended at least 75% of the total number of meetings of the Board of Directors and committee meetings of which such director was a member (held during the period for which such director was in office).</w:t>
      </w:r>
    </w:p>
    <w:p>
      <w:pPr>
        <w:spacing w:after="0" w:line="188"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Board is currently comprised of six members, five of whom are independent directors per the NASDAQ Stock Market rules. To date, we believe the size of our Board has been sufficient for a company of our size. We further believe that the six directors nominated for election are sufficient for the Company. No current director or executive officer has any family relationship with any other executive officer, director, or director nominee.</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Director Independence</w:t>
      </w:r>
    </w:p>
    <w:p>
      <w:pPr>
        <w:spacing w:after="0" w:line="229"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The rules of the Nasdaq Stock Market, or the Nasdaq Rules, require a majority of a listed company’s board of directors to be composed of independent directors. In addition, the Nasdaq Rules require that, subject to specified exceptions, each member of a listed company’s audit, compensation and nominating and governance committees be independent. Under the Nasdaq Rules, a director will only qualify as an independent director if, in the opinion of our Board of Directors, that person does not have a relationship that would interfere with the exercise of independent judgment in carrying out the responsibilities of a director. The Nasdaq Rules also require that audit committee members satisfy independence criteria set forth in Rule 10A-3 under the Securities Exchange Act of 1934, as amended, or the Exchange Act. In order to be considered independent for purposes of Rule 10A-3, a member of an audit committee of a listed company may not, other than in his or her capacity as a member of the audit committee, the board of directors, or any other board committee, accept, directly or indirectly, any consulting, advisory, or other compensatory fee from the listed company or any of its subsidiaries or otherwise be an affiliated person of the listed company or any of its subsidiaries. In considering the independence of compensation committee members, the Nasdaq Rules require that our board of directors must consider additional factors relevant to the duties of a compensation committee member, including the source of any compensation we pay to the director and any affiliations with our company.</w:t>
      </w:r>
    </w:p>
    <w:p>
      <w:pPr>
        <w:spacing w:after="0" w:line="19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board of directors undertook a review of the composition of our board of directors and its committees and the independence of each director. Based upon information requested from and provided by each director concerning his background, employment and affiliations, including family relationships, our board of directors has determined that each of our directors, with the exception of Mr. Climaco, are independent as defined under the Nasdaq Rules.</w:t>
      </w:r>
    </w:p>
    <w:p>
      <w:pPr>
        <w:spacing w:after="0" w:line="176"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The independent directors meet as often as necessary to fulfill their responsibilities, including meeting at least four times annually in executive session without the presence of non-independent directors and management.</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Board Committees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established a Nominating and Corporate Governance Committee, an Audit Committee a Pricing Committee and a Compensation Committee. Our Board of Directors has adopted and approved a charter for each of these standing committees. The charters, which include the functions and responsibilities of each of the committees, can be found in the “Investors - Corporate Governance” section on our web site at www.cnspharma.com.</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4" w:name="page15"/>
    <w:bookmarkEnd w:id="14"/>
    <w:p>
      <w:pPr>
        <w:jc w:val="both"/>
        <w:spacing w:after="0" w:line="256" w:lineRule="auto"/>
        <w:rPr>
          <w:sz w:val="20"/>
          <w:szCs w:val="20"/>
          <w:color w:val="auto"/>
        </w:rPr>
      </w:pPr>
      <w:r>
        <w:rPr>
          <w:rFonts w:ascii="Times New Roman" w:cs="Times New Roman" w:eastAsia="Times New Roman" w:hAnsi="Times New Roman"/>
          <w:sz w:val="18"/>
          <w:szCs w:val="18"/>
          <w:i w:val="1"/>
          <w:iCs w:val="1"/>
          <w:color w:val="auto"/>
        </w:rPr>
        <w:t>Audit Committee</w:t>
      </w:r>
      <w:r>
        <w:rPr>
          <w:rFonts w:ascii="Times New Roman" w:cs="Times New Roman" w:eastAsia="Times New Roman" w:hAnsi="Times New Roman"/>
          <w:sz w:val="18"/>
          <w:szCs w:val="18"/>
          <w:color w:val="auto"/>
        </w:rPr>
        <w:t>. The members of the Audit Committee are Mr. Keyes (Chair), Ms. Charles, and Ms. Mahery. Each member of the Audit Committee is</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independent as defined by the Nasdaq Rules. In addition, each member of the Audit Committee satisfies the additional requirements of the SEC and Nasdaq Rules for audit committee membership, including the additional independence requirements and the financial literacy requirements. The Board has determined that at least one member of the Audit Committee, Mr. Keyes, is an “audit committee financial expert” as defined in the SEC’s rules and regulations. The primary purpose of the Audit Committee is to oversee the quality and integrity of our accounting and financial reporting processes and the audit of our financial statements. The Audit Committee is responsible for selecting, compensating, overseeing and terminating the selection of our independent registered public accounting firm.</w:t>
      </w:r>
    </w:p>
    <w:p>
      <w:pPr>
        <w:spacing w:after="0" w:line="183"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i w:val="1"/>
          <w:iCs w:val="1"/>
          <w:color w:val="auto"/>
        </w:rPr>
        <w:t xml:space="preserve">Nominating and Corporate Governance Committee. </w:t>
      </w:r>
      <w:r>
        <w:rPr>
          <w:rFonts w:ascii="Times New Roman" w:cs="Times New Roman" w:eastAsia="Times New Roman" w:hAnsi="Times New Roman"/>
          <w:sz w:val="18"/>
          <w:szCs w:val="18"/>
          <w:color w:val="auto"/>
        </w:rPr>
        <w:t>The members of the Nominating and Corporate Governance Committee are Dr. Cockroft (Chair) and</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Ms. Charles. Each member of the Nominating and Corporate Governance Committee is independent as defined by Nasdaq Rules. The primary functions and responsibilities of the Nominating and Corporate Governance Committee are to: (a) determine the qualifications, qualities, skills, and other expertise required to be a director; (b) identify and screen individuals qualified to become members of the Board; (c) make recommendations to the Board regarding the selection and approval of the nominees for director; and (d) review and assess the adequacy of our corporate governance policies and procedures.</w:t>
      </w:r>
    </w:p>
    <w:p>
      <w:pPr>
        <w:spacing w:after="0" w:line="183" w:lineRule="exact"/>
        <w:rPr>
          <w:sz w:val="20"/>
          <w:szCs w:val="20"/>
          <w:color w:val="auto"/>
        </w:rPr>
      </w:pPr>
    </w:p>
    <w:p>
      <w:pPr>
        <w:jc w:val="both"/>
        <w:spacing w:after="0" w:line="284" w:lineRule="auto"/>
        <w:rPr>
          <w:sz w:val="20"/>
          <w:szCs w:val="20"/>
          <w:color w:val="auto"/>
        </w:rPr>
      </w:pPr>
      <w:r>
        <w:rPr>
          <w:rFonts w:ascii="Times New Roman" w:cs="Times New Roman" w:eastAsia="Times New Roman" w:hAnsi="Times New Roman"/>
          <w:sz w:val="18"/>
          <w:szCs w:val="18"/>
          <w:i w:val="1"/>
          <w:iCs w:val="1"/>
          <w:color w:val="auto"/>
        </w:rPr>
        <w:t>Compensation Committee</w:t>
      </w:r>
      <w:r>
        <w:rPr>
          <w:rFonts w:ascii="Times New Roman" w:cs="Times New Roman" w:eastAsia="Times New Roman" w:hAnsi="Times New Roman"/>
          <w:sz w:val="18"/>
          <w:szCs w:val="18"/>
          <w:color w:val="auto"/>
        </w:rPr>
        <w:t>. The members of the Compensation Committee are Ms. Mahery (Chair), Dr. Gumulka, and Dr. Cockroft. Each member of the</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Compensation Committee is independent as defined by Nasdaq Rules.</w:t>
      </w:r>
    </w:p>
    <w:p>
      <w:pPr>
        <w:spacing w:after="0" w:line="160"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The Compensation Committee is responsible for, among other things, reviewing and making recommendations to the Board of Directors with respect to the annual compensation for our Chief Executive Officer. The Compensation Committee also is responsible for reviewing and making recommendations to the Board of Directors regarding the annual compensation and benefits for our other executive officers. The Compensation Committee also, among other things, reviews compensation of the Board, reviews and makes recommendations on all new executive compensation programs that are proposed for adoption and administers the Company’s equity incentive plans. The Compensation Committee is responsible for reviewing director compensation for service on the Board and Board committees at least once a year and to recommend any changes to the Board.</w:t>
      </w:r>
    </w:p>
    <w:p>
      <w:pPr>
        <w:spacing w:after="0" w:line="18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Chief Executive Officer reviews the performance of our other executive officers (other than himself) and, based on that review, our Chief Executive Officer makes recommendations to the Compensation Committee about the compensation of executive officers (other than himself). Our Chief Executive Officer does not participate in any deliberations or approvals by the Board or the Compensation Committee with respect to his own compensation.</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Board Member Attendance at Annual Meetings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do not have a formal policy regarding Board attendance at our annual meetings, however, all of our directors are invited to the annual meeting. Four of our directors attended our 2024 annual meeting.</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Board Leadership Structure and Role in Risk Oversight</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During 2022, John Climaco served as both our Chief Executive Officer and Chairperson of the Board. In December 2022, Ms. Charles joined our Board of Directors and assumed the position of Chairperson. Our Board of Directors has no policy with regard to the separation of the offices of Chairperson of the Board and Chief Executive Officer.</w:t>
      </w:r>
    </w:p>
    <w:p>
      <w:pPr>
        <w:spacing w:after="0" w:line="176"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Our management is responsible for managing risks, including cybersecurity risks, in our business, and develops processes to manage and monitor risks. The Board views its role as one of oversight and reviews and assesses these risks regularly. The Board focuses on understanding management’s risk management systems, the effectiveness of those systems, and the way in which management proactively manages risks. In addition, the Board utilizes the Nominating and Corporate Governance Committee, the Audit Committee and the Compensation Committee to manage risks that arise under each committee’s area of focus.</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4" w:right="339" w:bottom="1440" w:gutter="0" w:footer="0" w:header="0"/>
        </w:sectPr>
      </w:pPr>
    </w:p>
    <w:bookmarkStart w:id="15" w:name="page16"/>
    <w:bookmarkEnd w:id="15"/>
    <w:p>
      <w:pPr>
        <w:spacing w:after="0"/>
        <w:rPr>
          <w:sz w:val="20"/>
          <w:szCs w:val="20"/>
          <w:color w:val="auto"/>
        </w:rPr>
      </w:pPr>
      <w:r>
        <w:rPr>
          <w:rFonts w:ascii="Times New Roman" w:cs="Times New Roman" w:eastAsia="Times New Roman" w:hAnsi="Times New Roman"/>
          <w:sz w:val="18"/>
          <w:szCs w:val="18"/>
          <w:b w:val="1"/>
          <w:bCs w:val="1"/>
          <w:color w:val="auto"/>
        </w:rPr>
        <w:t>Nomination of Director Candidates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receive suggestions for potential director nominees from many sources, including members of the Board, advisors, and stockholders. Any such nominations, together with appropriate biographical information, should be submitted to the Chairperson of the Nominating and Corporate Governance Committee in the manner discussed below. Any candidates submitted by a stockholder or stockholder group are reviewed and considered in the same manner as all other candidates.</w:t>
      </w:r>
    </w:p>
    <w:p>
      <w:pPr>
        <w:spacing w:after="0" w:line="180"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Qualifications for consideration as a Board nominee may vary according to the particular areas of expertise being sought as a complement to the existing board composition. However, minimum qualifications include high level leadership experience in business activities, breadth of knowledge about issues affecting the Company, experience on other boards of directors, preferably public company boards, and time available for meetings and consultation on Company matters. Our Nominating and Corporate Governance Committee does not have a formal policy with regard to the consideration of diversity in identifying director candidates, but seeks a diverse group of candidates who possess the background, skills and expertise to make a significant contribution to the Board, to the Company and our stockholders. Candidates whose evaluations are favorable are recommended by our Nominating and Corporate Governance Committee to the full Board for consideration. The full Board selects and recommends candidates for nomination as directors for stockholders to consider and vote upon at the annual meeting.</w:t>
      </w:r>
    </w:p>
    <w:p>
      <w:pPr>
        <w:spacing w:after="0" w:line="192"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A stockholder wishing to nominate a candidate for election to our Board of Directors at any annual meeting at which the Board of Directors has determined that one or more directors will be elected must submit a written notice of his or her nomination of a candidate to the Chairperson of the Nominating and Corporate Governance Committee (c/o the Corporate Secretary), providing the candidates name, biographical data and other relevant information together with a consent from the nominee. Pursuant to our Amended and Restated Bylaws, the submission must be received at our principal executive offices 120 days prior to the anniversary date of the mailing date of our previous year’s proxy statement so as to permit the Board of Directors time to evaluate the qualifications of the nominee.</w:t>
      </w:r>
    </w:p>
    <w:p>
      <w:pPr>
        <w:spacing w:after="0" w:line="187"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In 2022, 2023 and 2024, we employed and paid executive search firms to assist us in locating qualified candidates for director positions as the Board sought to expand and diversify its membership. Ms. Charles, Dr. Cockroft and Ms. Mahery were identified through the search firms.</w:t>
      </w:r>
    </w:p>
    <w:p>
      <w:pPr>
        <w:spacing w:after="0" w:line="162"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In addition to satisfying the foregoing requirements under our Amended and Restated Bylaws, to comply with the universal proxy rules, stockholders who intend to solicit proxies in support of director nominees other than our nominees must provide notice that sets forth the information required by Rule 14a-19 under the Exchange Act no later than September 18, 2026 (i.e., the date that is 60 days prior to the anniversary date of this annual meeting of stockholders). The requirements under the universal proxy rules are in addition to the applicable procedural requirements under our Amended and Restated Bylaws described above.</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Stockholder Communications with Directors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Persons wishing to write to our Board of Directors, or to a specified director or committee of the Board, should send correspondence to the Corporate Secretary at 2100 West Loop South, Suite 900, Houston, TX 77027. Electronic submissions of stockholder correspondence will not be accepted.</w:t>
      </w:r>
    </w:p>
    <w:p>
      <w:pPr>
        <w:spacing w:after="0" w:line="162"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Corporate Secretary will forward to the directors all communications that, in his or her judgment, are appropriate for consideration by the directors. Examples of communications that would not be appropriate for consideration by the directors include commercial solicitations and matters not relevant to the stockholders, to the functioning of the Board or to the affairs of CNS. Any correspondence received that is addressed generically to the Board of Directors will be forwarded to the Chairperson of the Board.</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Insider Trading Policy</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insider trading policy, which is included in our code of ethics, prohibits our directors, executive officers, and employees from purchasing or selling our securities while being aware of material, non-public information about the Company as well as disclosing such information to others who may trade in securities of the Company.</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6" w:name="page17"/>
    <w:bookmarkEnd w:id="16"/>
    <w:p>
      <w:pPr>
        <w:spacing w:after="0"/>
        <w:rPr>
          <w:sz w:val="20"/>
          <w:szCs w:val="20"/>
          <w:color w:val="auto"/>
        </w:rPr>
      </w:pPr>
      <w:r>
        <w:rPr>
          <w:rFonts w:ascii="Times New Roman" w:cs="Times New Roman" w:eastAsia="Times New Roman" w:hAnsi="Times New Roman"/>
          <w:sz w:val="18"/>
          <w:szCs w:val="18"/>
          <w:b w:val="1"/>
          <w:bCs w:val="1"/>
          <w:color w:val="auto"/>
        </w:rPr>
        <w:t>Anti-Hedging Policy</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policies prohibit directors, officers and other employees from purchasing financial instruments (including prepaid variable forward contracts, equity swaps, collars, and exchange funds), or otherwise engaging in transactions, that hedge or offset, or are designed to hedge or offset, any decrease in the market value of our equity securities without our prior approval.</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Code of Ethics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have adopted a written code of ethics that applies to our directors, principal executive officer, principal financial officer, principal accounting officer or controller and any persons performing similar functions. The code of ethics is on the “Investors - Governance - Governance Documents” section of our website at www.cnspharma.com. We intend to disclose any future amendments to, or waivers from, the code of ethics within four business days of the waiver or amendment through a website posting or by filing a Current Report on Form 8-K with the SEC.</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Delinquent Section 16(a) Reports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Section 16(a) of the Exchange Act requires that our executive officers and directors, and persons who own more than 10% of our common stock, file reports of ownership and changes of ownership with the SEC. Such directors, executive officers and 10% stockholders are required by SEC regulation to furnish us with copies of all Section 16(a) forms they file.</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SEC regulations require us to identify anyone who filed a required report late during the most recent fiscal year. Based solely on our review of copies of such forms that we have received, or written representations from reporting persons, we believe that during 2024, all executive officers, directors and greater than 10% stockholders complied with all applicable SEC filing requirements, except as follows: Messrs. Climaco, Downs, Carl Evans (a former director), Dr. Gumulka and Ms. Mahery each filed one Form 4 reporting one transaction one day late on February 6, 2024.</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7" w:name="page18"/>
    <w:bookmarkEnd w:id="17"/>
    <w:p>
      <w:pPr>
        <w:jc w:val="center"/>
        <w:spacing w:after="0"/>
        <w:rPr>
          <w:sz w:val="20"/>
          <w:szCs w:val="20"/>
          <w:color w:val="auto"/>
        </w:rPr>
      </w:pPr>
      <w:r>
        <w:rPr>
          <w:rFonts w:ascii="Times New Roman" w:cs="Times New Roman" w:eastAsia="Times New Roman" w:hAnsi="Times New Roman"/>
          <w:sz w:val="18"/>
          <w:szCs w:val="18"/>
          <w:b w:val="1"/>
          <w:bCs w:val="1"/>
          <w:color w:val="auto"/>
        </w:rPr>
        <w:t>COMPENSATION OF DIRECTORS AND EXECUTIVE OFFICERS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Executive Officer Compensation</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named executive officers for the years ended December 31, 2024 and December 31, 2023, which consist of our principal executive officer and our two other most highly compensated executive officers, are: (i) John Climaco, our chairman and chief executive officer; (ii) Chris Downs, our chief financial officer; and (ii) Sandra Silberman, our chief medical officer.</w:t>
      </w:r>
    </w:p>
    <w:p>
      <w:pPr>
        <w:spacing w:after="0" w:line="172"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4160" w:type="dxa"/>
            <w:vAlign w:val="bottom"/>
          </w:tcPr>
          <w:p>
            <w:pPr>
              <w:spacing w:after="0"/>
              <w:rPr>
                <w:sz w:val="20"/>
                <w:szCs w:val="20"/>
                <w:color w:val="auto"/>
              </w:rPr>
            </w:pPr>
          </w:p>
        </w:tc>
        <w:tc>
          <w:tcPr>
            <w:tcW w:w="3520" w:type="dxa"/>
            <w:vAlign w:val="bottom"/>
            <w:gridSpan w:val="3"/>
          </w:tcPr>
          <w:p>
            <w:pPr>
              <w:ind w:left="320"/>
              <w:spacing w:after="0"/>
              <w:rPr>
                <w:sz w:val="20"/>
                <w:szCs w:val="20"/>
                <w:color w:val="auto"/>
              </w:rPr>
            </w:pPr>
            <w:r>
              <w:rPr>
                <w:rFonts w:ascii="Times New Roman" w:cs="Times New Roman" w:eastAsia="Times New Roman" w:hAnsi="Times New Roman"/>
                <w:sz w:val="18"/>
                <w:szCs w:val="18"/>
                <w:b w:val="1"/>
                <w:bCs w:val="1"/>
                <w:color w:val="auto"/>
              </w:rPr>
              <w:t>Summary Compensation Table – 2024</w:t>
            </w:r>
          </w:p>
        </w:tc>
        <w:tc>
          <w:tcPr>
            <w:tcW w:w="980" w:type="dxa"/>
            <w:vAlign w:val="bottom"/>
          </w:tcPr>
          <w:p>
            <w:pPr>
              <w:spacing w:after="0"/>
              <w:rPr>
                <w:sz w:val="20"/>
                <w:szCs w:val="20"/>
                <w:color w:val="auto"/>
              </w:rPr>
            </w:pPr>
          </w:p>
        </w:tc>
        <w:tc>
          <w:tcPr>
            <w:tcW w:w="1440" w:type="dxa"/>
            <w:vAlign w:val="bottom"/>
          </w:tcPr>
          <w:p>
            <w:pPr>
              <w:spacing w:after="0"/>
              <w:rPr>
                <w:sz w:val="20"/>
                <w:szCs w:val="20"/>
                <w:color w:val="auto"/>
              </w:rPr>
            </w:pPr>
          </w:p>
        </w:tc>
        <w:tc>
          <w:tcPr>
            <w:tcW w:w="1140" w:type="dxa"/>
            <w:vAlign w:val="bottom"/>
          </w:tcPr>
          <w:p>
            <w:pPr>
              <w:spacing w:after="0"/>
              <w:rPr>
                <w:sz w:val="20"/>
                <w:szCs w:val="20"/>
                <w:color w:val="auto"/>
              </w:rPr>
            </w:pPr>
          </w:p>
        </w:tc>
      </w:tr>
      <w:tr>
        <w:trPr>
          <w:trHeight w:val="410"/>
        </w:trPr>
        <w:tc>
          <w:tcPr>
            <w:tcW w:w="416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4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Nonequity</w:t>
            </w:r>
          </w:p>
        </w:tc>
        <w:tc>
          <w:tcPr>
            <w:tcW w:w="1140" w:type="dxa"/>
            <w:vAlign w:val="bottom"/>
          </w:tcPr>
          <w:p>
            <w:pPr>
              <w:spacing w:after="0"/>
              <w:rPr>
                <w:sz w:val="24"/>
                <w:szCs w:val="24"/>
                <w:color w:val="auto"/>
              </w:rPr>
            </w:pPr>
          </w:p>
        </w:tc>
      </w:tr>
      <w:tr>
        <w:trPr>
          <w:trHeight w:val="216"/>
        </w:trPr>
        <w:tc>
          <w:tcPr>
            <w:tcW w:w="41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980" w:type="dxa"/>
            <w:vAlign w:val="bottom"/>
          </w:tcPr>
          <w:p>
            <w:pPr>
              <w:ind w:left="220"/>
              <w:spacing w:after="0"/>
              <w:rPr>
                <w:sz w:val="20"/>
                <w:szCs w:val="20"/>
                <w:color w:val="auto"/>
              </w:rPr>
            </w:pPr>
            <w:r>
              <w:rPr>
                <w:rFonts w:ascii="Times New Roman" w:cs="Times New Roman" w:eastAsia="Times New Roman" w:hAnsi="Times New Roman"/>
                <w:sz w:val="18"/>
                <w:szCs w:val="18"/>
                <w:b w:val="1"/>
                <w:bCs w:val="1"/>
                <w:color w:val="auto"/>
              </w:rPr>
              <w:t>Option</w:t>
            </w:r>
          </w:p>
        </w:tc>
        <w:tc>
          <w:tcPr>
            <w:tcW w:w="14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rPr>
              <w:t>incentive plan</w:t>
            </w:r>
          </w:p>
        </w:tc>
        <w:tc>
          <w:tcPr>
            <w:tcW w:w="1140" w:type="dxa"/>
            <w:vAlign w:val="bottom"/>
          </w:tcPr>
          <w:p>
            <w:pPr>
              <w:spacing w:after="0"/>
              <w:rPr>
                <w:sz w:val="18"/>
                <w:szCs w:val="18"/>
                <w:color w:val="auto"/>
              </w:rPr>
            </w:pPr>
          </w:p>
        </w:tc>
      </w:tr>
      <w:tr>
        <w:trPr>
          <w:trHeight w:val="216"/>
        </w:trPr>
        <w:tc>
          <w:tcPr>
            <w:tcW w:w="41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100" w:type="dxa"/>
            <w:vAlign w:val="bottom"/>
          </w:tcPr>
          <w:p>
            <w:pPr>
              <w:ind w:left="340"/>
              <w:spacing w:after="0"/>
              <w:rPr>
                <w:sz w:val="20"/>
                <w:szCs w:val="20"/>
                <w:color w:val="auto"/>
              </w:rPr>
            </w:pPr>
            <w:r>
              <w:rPr>
                <w:rFonts w:ascii="Times New Roman" w:cs="Times New Roman" w:eastAsia="Times New Roman" w:hAnsi="Times New Roman"/>
                <w:sz w:val="18"/>
                <w:szCs w:val="18"/>
                <w:b w:val="1"/>
                <w:bCs w:val="1"/>
                <w:color w:val="auto"/>
              </w:rPr>
              <w:t>Salary</w:t>
            </w:r>
          </w:p>
        </w:tc>
        <w:tc>
          <w:tcPr>
            <w:tcW w:w="1480" w:type="dxa"/>
            <w:vAlign w:val="bottom"/>
          </w:tcPr>
          <w:p>
            <w:pPr>
              <w:ind w:left="200"/>
              <w:spacing w:after="0"/>
              <w:rPr>
                <w:sz w:val="20"/>
                <w:szCs w:val="20"/>
                <w:color w:val="auto"/>
              </w:rPr>
            </w:pPr>
            <w:r>
              <w:rPr>
                <w:rFonts w:ascii="Times New Roman" w:cs="Times New Roman" w:eastAsia="Times New Roman" w:hAnsi="Times New Roman"/>
                <w:sz w:val="18"/>
                <w:szCs w:val="18"/>
                <w:b w:val="1"/>
                <w:bCs w:val="1"/>
                <w:color w:val="auto"/>
              </w:rPr>
              <w:t>Stock Awards</w:t>
            </w:r>
          </w:p>
        </w:tc>
        <w:tc>
          <w:tcPr>
            <w:tcW w:w="980" w:type="dxa"/>
            <w:vAlign w:val="bottom"/>
          </w:tcPr>
          <w:p>
            <w:pPr>
              <w:ind w:left="200"/>
              <w:spacing w:after="0"/>
              <w:rPr>
                <w:sz w:val="20"/>
                <w:szCs w:val="20"/>
                <w:color w:val="auto"/>
              </w:rPr>
            </w:pPr>
            <w:r>
              <w:rPr>
                <w:rFonts w:ascii="Times New Roman" w:cs="Times New Roman" w:eastAsia="Times New Roman" w:hAnsi="Times New Roman"/>
                <w:sz w:val="18"/>
                <w:szCs w:val="18"/>
                <w:b w:val="1"/>
                <w:bCs w:val="1"/>
                <w:color w:val="auto"/>
              </w:rPr>
              <w:t>awards</w:t>
            </w:r>
          </w:p>
        </w:tc>
        <w:tc>
          <w:tcPr>
            <w:tcW w:w="14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compensation</w:t>
            </w:r>
          </w:p>
        </w:tc>
        <w:tc>
          <w:tcPr>
            <w:tcW w:w="1140" w:type="dxa"/>
            <w:vAlign w:val="bottom"/>
          </w:tcPr>
          <w:p>
            <w:pPr>
              <w:ind w:left="320"/>
              <w:spacing w:after="0"/>
              <w:rPr>
                <w:sz w:val="20"/>
                <w:szCs w:val="20"/>
                <w:color w:val="auto"/>
              </w:rPr>
            </w:pPr>
            <w:r>
              <w:rPr>
                <w:rFonts w:ascii="Times New Roman" w:cs="Times New Roman" w:eastAsia="Times New Roman" w:hAnsi="Times New Roman"/>
                <w:sz w:val="18"/>
                <w:szCs w:val="18"/>
                <w:b w:val="1"/>
                <w:bCs w:val="1"/>
                <w:color w:val="auto"/>
              </w:rPr>
              <w:t>Total</w:t>
            </w:r>
          </w:p>
        </w:tc>
      </w:tr>
      <w:tr>
        <w:trPr>
          <w:trHeight w:val="238"/>
        </w:trPr>
        <w:tc>
          <w:tcPr>
            <w:tcW w:w="416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b w:val="1"/>
                <w:bCs w:val="1"/>
                <w:color w:val="auto"/>
              </w:rPr>
              <w:t>Name and Principal Position</w:t>
            </w:r>
          </w:p>
        </w:tc>
        <w:tc>
          <w:tcPr>
            <w:tcW w:w="940" w:type="dxa"/>
            <w:vAlign w:val="bottom"/>
            <w:tcBorders>
              <w:bottom w:val="single" w:sz="8" w:color="auto"/>
            </w:tcBorders>
          </w:tcPr>
          <w:p>
            <w:pPr>
              <w:ind w:left="280"/>
              <w:spacing w:after="0"/>
              <w:rPr>
                <w:sz w:val="20"/>
                <w:szCs w:val="20"/>
                <w:color w:val="auto"/>
              </w:rPr>
            </w:pPr>
            <w:r>
              <w:rPr>
                <w:rFonts w:ascii="Times New Roman" w:cs="Times New Roman" w:eastAsia="Times New Roman" w:hAnsi="Times New Roman"/>
                <w:sz w:val="18"/>
                <w:szCs w:val="18"/>
                <w:b w:val="1"/>
                <w:bCs w:val="1"/>
                <w:color w:val="auto"/>
              </w:rPr>
              <w:t>Year</w:t>
            </w:r>
          </w:p>
        </w:tc>
        <w:tc>
          <w:tcPr>
            <w:tcW w:w="11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w:t>
            </w:r>
          </w:p>
        </w:tc>
        <w:tc>
          <w:tcPr>
            <w:tcW w:w="148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($)(1)</w:t>
            </w:r>
          </w:p>
        </w:tc>
        <w:tc>
          <w:tcPr>
            <w:tcW w:w="98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 (1)</w:t>
            </w:r>
          </w:p>
        </w:tc>
        <w:tc>
          <w:tcPr>
            <w:tcW w:w="14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5"/>
              </w:rPr>
              <w:t>($)</w:t>
            </w:r>
          </w:p>
        </w:tc>
        <w:tc>
          <w:tcPr>
            <w:tcW w:w="11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w:t>
            </w:r>
          </w:p>
        </w:tc>
      </w:tr>
      <w:tr>
        <w:trPr>
          <w:trHeight w:val="209"/>
        </w:trPr>
        <w:tc>
          <w:tcPr>
            <w:tcW w:w="41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John Climaco, Chief Executive Officer</w:t>
            </w:r>
          </w:p>
        </w:tc>
        <w:tc>
          <w:tcPr>
            <w:tcW w:w="940" w:type="dxa"/>
            <w:vAlign w:val="bottom"/>
            <w:shd w:val="clear" w:color="auto" w:fill="EEEEEE"/>
          </w:tcPr>
          <w:p>
            <w:pPr>
              <w:ind w:left="280"/>
              <w:spacing w:after="0"/>
              <w:rPr>
                <w:sz w:val="20"/>
                <w:szCs w:val="20"/>
                <w:color w:val="auto"/>
              </w:rPr>
            </w:pPr>
            <w:r>
              <w:rPr>
                <w:rFonts w:ascii="Times New Roman" w:cs="Times New Roman" w:eastAsia="Times New Roman" w:hAnsi="Times New Roman"/>
                <w:sz w:val="18"/>
                <w:szCs w:val="18"/>
                <w:color w:val="auto"/>
              </w:rPr>
              <w:t>2024</w:t>
            </w:r>
          </w:p>
        </w:tc>
        <w:tc>
          <w:tcPr>
            <w:tcW w:w="11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525,000</w:t>
            </w:r>
          </w:p>
        </w:tc>
        <w:tc>
          <w:tcPr>
            <w:tcW w:w="14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9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292,817</w:t>
            </w:r>
          </w:p>
        </w:tc>
        <w:tc>
          <w:tcPr>
            <w:tcW w:w="14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285,863</w:t>
            </w:r>
          </w:p>
        </w:tc>
        <w:tc>
          <w:tcPr>
            <w:tcW w:w="1140" w:type="dxa"/>
            <w:vAlign w:val="bottom"/>
            <w:shd w:val="clear" w:color="auto" w:fill="EEEEEE"/>
          </w:tcPr>
          <w:p>
            <w:pPr>
              <w:jc w:val="center"/>
              <w:ind w:right="10"/>
              <w:spacing w:after="0"/>
              <w:rPr>
                <w:sz w:val="20"/>
                <w:szCs w:val="20"/>
                <w:color w:val="auto"/>
              </w:rPr>
            </w:pPr>
            <w:r>
              <w:rPr>
                <w:rFonts w:ascii="Times New Roman" w:cs="Times New Roman" w:eastAsia="Times New Roman" w:hAnsi="Times New Roman"/>
                <w:sz w:val="18"/>
                <w:szCs w:val="18"/>
                <w:color w:val="auto"/>
                <w:w w:val="99"/>
              </w:rPr>
              <w:t>1,103,680</w:t>
            </w:r>
          </w:p>
        </w:tc>
      </w:tr>
      <w:tr>
        <w:trPr>
          <w:trHeight w:val="216"/>
        </w:trPr>
        <w:tc>
          <w:tcPr>
            <w:tcW w:w="4160" w:type="dxa"/>
            <w:vAlign w:val="bottom"/>
            <w:shd w:val="clear" w:color="auto" w:fill="EEEEEE"/>
          </w:tcPr>
          <w:p>
            <w:pPr>
              <w:spacing w:after="0"/>
              <w:rPr>
                <w:sz w:val="18"/>
                <w:szCs w:val="18"/>
                <w:color w:val="auto"/>
              </w:rPr>
            </w:pPr>
          </w:p>
        </w:tc>
        <w:tc>
          <w:tcPr>
            <w:tcW w:w="940" w:type="dxa"/>
            <w:vAlign w:val="bottom"/>
            <w:shd w:val="clear" w:color="auto" w:fill="EEEEEE"/>
          </w:tcPr>
          <w:p>
            <w:pPr>
              <w:ind w:left="280"/>
              <w:spacing w:after="0"/>
              <w:rPr>
                <w:sz w:val="20"/>
                <w:szCs w:val="20"/>
                <w:color w:val="auto"/>
              </w:rPr>
            </w:pPr>
            <w:r>
              <w:rPr>
                <w:rFonts w:ascii="Times New Roman" w:cs="Times New Roman" w:eastAsia="Times New Roman" w:hAnsi="Times New Roman"/>
                <w:sz w:val="18"/>
                <w:szCs w:val="18"/>
                <w:color w:val="auto"/>
              </w:rPr>
              <w:t>2023</w:t>
            </w:r>
          </w:p>
        </w:tc>
        <w:tc>
          <w:tcPr>
            <w:tcW w:w="11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525,000</w:t>
            </w:r>
          </w:p>
        </w:tc>
        <w:tc>
          <w:tcPr>
            <w:tcW w:w="14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20,688</w:t>
            </w:r>
          </w:p>
        </w:tc>
        <w:tc>
          <w:tcPr>
            <w:tcW w:w="9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18,022</w:t>
            </w:r>
          </w:p>
        </w:tc>
        <w:tc>
          <w:tcPr>
            <w:tcW w:w="14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60,638</w:t>
            </w:r>
          </w:p>
        </w:tc>
        <w:tc>
          <w:tcPr>
            <w:tcW w:w="11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624,348</w:t>
            </w:r>
          </w:p>
        </w:tc>
      </w:tr>
      <w:tr>
        <w:trPr>
          <w:trHeight w:val="216"/>
        </w:trPr>
        <w:tc>
          <w:tcPr>
            <w:tcW w:w="41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140" w:type="dxa"/>
            <w:vAlign w:val="bottom"/>
          </w:tcPr>
          <w:p>
            <w:pPr>
              <w:spacing w:after="0"/>
              <w:rPr>
                <w:sz w:val="18"/>
                <w:szCs w:val="18"/>
                <w:color w:val="auto"/>
              </w:rPr>
            </w:pPr>
          </w:p>
        </w:tc>
      </w:tr>
      <w:tr>
        <w:trPr>
          <w:trHeight w:val="216"/>
        </w:trPr>
        <w:tc>
          <w:tcPr>
            <w:tcW w:w="41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Christopher Downs, Chief Financial Officer</w:t>
            </w:r>
          </w:p>
        </w:tc>
        <w:tc>
          <w:tcPr>
            <w:tcW w:w="940" w:type="dxa"/>
            <w:vAlign w:val="bottom"/>
            <w:shd w:val="clear" w:color="auto" w:fill="EEEEEE"/>
          </w:tcPr>
          <w:p>
            <w:pPr>
              <w:ind w:left="280"/>
              <w:spacing w:after="0"/>
              <w:rPr>
                <w:sz w:val="20"/>
                <w:szCs w:val="20"/>
                <w:color w:val="auto"/>
              </w:rPr>
            </w:pPr>
            <w:r>
              <w:rPr>
                <w:rFonts w:ascii="Times New Roman" w:cs="Times New Roman" w:eastAsia="Times New Roman" w:hAnsi="Times New Roman"/>
                <w:sz w:val="18"/>
                <w:szCs w:val="18"/>
                <w:color w:val="auto"/>
              </w:rPr>
              <w:t>2024</w:t>
            </w:r>
          </w:p>
        </w:tc>
        <w:tc>
          <w:tcPr>
            <w:tcW w:w="11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340,000</w:t>
            </w:r>
          </w:p>
        </w:tc>
        <w:tc>
          <w:tcPr>
            <w:tcW w:w="14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9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146,410</w:t>
            </w:r>
          </w:p>
        </w:tc>
        <w:tc>
          <w:tcPr>
            <w:tcW w:w="14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134,640</w:t>
            </w:r>
          </w:p>
        </w:tc>
        <w:tc>
          <w:tcPr>
            <w:tcW w:w="11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621,050</w:t>
            </w:r>
          </w:p>
        </w:tc>
      </w:tr>
      <w:tr>
        <w:trPr>
          <w:trHeight w:val="216"/>
        </w:trPr>
        <w:tc>
          <w:tcPr>
            <w:tcW w:w="4160" w:type="dxa"/>
            <w:vAlign w:val="bottom"/>
            <w:shd w:val="clear" w:color="auto" w:fill="EEEEEE"/>
          </w:tcPr>
          <w:p>
            <w:pPr>
              <w:spacing w:after="0"/>
              <w:rPr>
                <w:sz w:val="18"/>
                <w:szCs w:val="18"/>
                <w:color w:val="auto"/>
              </w:rPr>
            </w:pPr>
          </w:p>
        </w:tc>
        <w:tc>
          <w:tcPr>
            <w:tcW w:w="940" w:type="dxa"/>
            <w:vAlign w:val="bottom"/>
            <w:shd w:val="clear" w:color="auto" w:fill="EEEEEE"/>
          </w:tcPr>
          <w:p>
            <w:pPr>
              <w:ind w:left="280"/>
              <w:spacing w:after="0"/>
              <w:rPr>
                <w:sz w:val="20"/>
                <w:szCs w:val="20"/>
                <w:color w:val="auto"/>
              </w:rPr>
            </w:pPr>
            <w:r>
              <w:rPr>
                <w:rFonts w:ascii="Times New Roman" w:cs="Times New Roman" w:eastAsia="Times New Roman" w:hAnsi="Times New Roman"/>
                <w:sz w:val="18"/>
                <w:szCs w:val="18"/>
                <w:color w:val="auto"/>
              </w:rPr>
              <w:t>2023</w:t>
            </w:r>
          </w:p>
        </w:tc>
        <w:tc>
          <w:tcPr>
            <w:tcW w:w="11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340,000</w:t>
            </w:r>
          </w:p>
        </w:tc>
        <w:tc>
          <w:tcPr>
            <w:tcW w:w="14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10,344</w:t>
            </w:r>
          </w:p>
        </w:tc>
        <w:tc>
          <w:tcPr>
            <w:tcW w:w="9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8"/>
              </w:rPr>
              <w:t>9,011</w:t>
            </w:r>
          </w:p>
        </w:tc>
        <w:tc>
          <w:tcPr>
            <w:tcW w:w="14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42,160</w:t>
            </w:r>
          </w:p>
        </w:tc>
        <w:tc>
          <w:tcPr>
            <w:tcW w:w="11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401,515</w:t>
            </w:r>
          </w:p>
        </w:tc>
      </w:tr>
      <w:tr>
        <w:trPr>
          <w:trHeight w:val="216"/>
        </w:trPr>
        <w:tc>
          <w:tcPr>
            <w:tcW w:w="41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140" w:type="dxa"/>
            <w:vAlign w:val="bottom"/>
          </w:tcPr>
          <w:p>
            <w:pPr>
              <w:spacing w:after="0"/>
              <w:rPr>
                <w:sz w:val="18"/>
                <w:szCs w:val="18"/>
                <w:color w:val="auto"/>
              </w:rPr>
            </w:pPr>
          </w:p>
        </w:tc>
      </w:tr>
      <w:tr>
        <w:trPr>
          <w:trHeight w:val="216"/>
        </w:trPr>
        <w:tc>
          <w:tcPr>
            <w:tcW w:w="41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Sandra Silberman, Chief Medical Officer</w:t>
            </w:r>
          </w:p>
        </w:tc>
        <w:tc>
          <w:tcPr>
            <w:tcW w:w="940" w:type="dxa"/>
            <w:vAlign w:val="bottom"/>
            <w:shd w:val="clear" w:color="auto" w:fill="EEEEEE"/>
          </w:tcPr>
          <w:p>
            <w:pPr>
              <w:ind w:left="280"/>
              <w:spacing w:after="0"/>
              <w:rPr>
                <w:sz w:val="20"/>
                <w:szCs w:val="20"/>
                <w:color w:val="auto"/>
              </w:rPr>
            </w:pPr>
            <w:r>
              <w:rPr>
                <w:rFonts w:ascii="Times New Roman" w:cs="Times New Roman" w:eastAsia="Times New Roman" w:hAnsi="Times New Roman"/>
                <w:sz w:val="18"/>
                <w:szCs w:val="18"/>
                <w:color w:val="auto"/>
              </w:rPr>
              <w:t>2024</w:t>
            </w:r>
          </w:p>
        </w:tc>
        <w:tc>
          <w:tcPr>
            <w:tcW w:w="11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200,000</w:t>
            </w:r>
          </w:p>
        </w:tc>
        <w:tc>
          <w:tcPr>
            <w:tcW w:w="14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9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73,205</w:t>
            </w:r>
          </w:p>
        </w:tc>
        <w:tc>
          <w:tcPr>
            <w:tcW w:w="14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88,436</w:t>
            </w:r>
          </w:p>
        </w:tc>
        <w:tc>
          <w:tcPr>
            <w:tcW w:w="11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361,641</w:t>
            </w:r>
          </w:p>
        </w:tc>
      </w:tr>
      <w:tr>
        <w:trPr>
          <w:trHeight w:val="216"/>
        </w:trPr>
        <w:tc>
          <w:tcPr>
            <w:tcW w:w="4160" w:type="dxa"/>
            <w:vAlign w:val="bottom"/>
            <w:shd w:val="clear" w:color="auto" w:fill="EEEEEE"/>
          </w:tcPr>
          <w:p>
            <w:pPr>
              <w:spacing w:after="0"/>
              <w:rPr>
                <w:sz w:val="18"/>
                <w:szCs w:val="18"/>
                <w:color w:val="auto"/>
              </w:rPr>
            </w:pPr>
          </w:p>
        </w:tc>
        <w:tc>
          <w:tcPr>
            <w:tcW w:w="940" w:type="dxa"/>
            <w:vAlign w:val="bottom"/>
            <w:shd w:val="clear" w:color="auto" w:fill="EEEEEE"/>
          </w:tcPr>
          <w:p>
            <w:pPr>
              <w:ind w:left="280"/>
              <w:spacing w:after="0"/>
              <w:rPr>
                <w:sz w:val="20"/>
                <w:szCs w:val="20"/>
                <w:color w:val="auto"/>
              </w:rPr>
            </w:pPr>
            <w:r>
              <w:rPr>
                <w:rFonts w:ascii="Times New Roman" w:cs="Times New Roman" w:eastAsia="Times New Roman" w:hAnsi="Times New Roman"/>
                <w:sz w:val="18"/>
                <w:szCs w:val="18"/>
                <w:color w:val="auto"/>
              </w:rPr>
              <w:t>2023</w:t>
            </w:r>
          </w:p>
        </w:tc>
        <w:tc>
          <w:tcPr>
            <w:tcW w:w="110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200,000</w:t>
            </w:r>
          </w:p>
        </w:tc>
        <w:tc>
          <w:tcPr>
            <w:tcW w:w="14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8"/>
              </w:rPr>
              <w:t>4,784</w:t>
            </w:r>
          </w:p>
        </w:tc>
        <w:tc>
          <w:tcPr>
            <w:tcW w:w="98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4,168</w:t>
            </w:r>
          </w:p>
        </w:tc>
        <w:tc>
          <w:tcPr>
            <w:tcW w:w="14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61,200</w:t>
            </w:r>
          </w:p>
        </w:tc>
        <w:tc>
          <w:tcPr>
            <w:tcW w:w="11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w w:val="99"/>
              </w:rPr>
              <w:t>270,152</w:t>
            </w:r>
          </w:p>
        </w:tc>
      </w:tr>
    </w:tbl>
    <w:p>
      <w:pPr>
        <w:spacing w:after="0" w:line="198" w:lineRule="exact"/>
        <w:rPr>
          <w:sz w:val="20"/>
          <w:szCs w:val="20"/>
          <w:color w:val="auto"/>
        </w:rPr>
      </w:pPr>
    </w:p>
    <w:p>
      <w:pPr>
        <w:jc w:val="both"/>
        <w:ind w:firstLine="8"/>
        <w:spacing w:after="0" w:line="266" w:lineRule="auto"/>
        <w:tabs>
          <w:tab w:leader="none" w:pos="289" w:val="left"/>
        </w:tabs>
        <w:numPr>
          <w:ilvl w:val="0"/>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Represents the full grant date fair value of the awards calculated in accordance with FASB ASC Topic 718. These amounts do not necessarily correspond to the actual value that may be realized by the named executive officer. Option awards for the 2024 calendar year were granted in March 2025 and option awards for 2023 were granted in April 2024.</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Narrative Disclosure to Summary Compensation Table</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We review compensation annually for all employees, including our executives. In setting executive base salaries and bonuses and granting equity incentive awards, we consider compensation for comparable positions in the market, the individual executive’s performance as compared to our expectations and objectives, our desire to motivate our employees to achieve short and long-term results that are in the best interests of our stockholders and a long-term commitment to our company. We do not target a specific competitive position or a specific mix of compensation among base salary, bonus or long-term incentives. Our Compensation Committee typically reviews and discusses management’s proposed compensation with the Chief Executive Officer for all executives other than the Chief Executive Officer. Based on those discussions and its discretion, the Compensation Committee then determines the compensation for each executive officer. Our Compensation Committee, without members of management present, discusses and ultimately approves the compensation of our executive officers.</w:t>
      </w:r>
    </w:p>
    <w:p>
      <w:pPr>
        <w:spacing w:after="0" w:line="19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Annual Base Salary</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For 2024, the base salaries for Mr. Climaco, Mr. Downs, and Dr. Silberman did not change from the prior year and were $525,000, $340,000, and $200,000, respectively.</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8" w:name="page19"/>
    <w:bookmarkEnd w:id="18"/>
    <w:p>
      <w:pPr>
        <w:spacing w:after="0"/>
        <w:rPr>
          <w:sz w:val="20"/>
          <w:szCs w:val="20"/>
          <w:color w:val="auto"/>
        </w:rPr>
      </w:pPr>
      <w:r>
        <w:rPr>
          <w:rFonts w:ascii="Times New Roman" w:cs="Times New Roman" w:eastAsia="Times New Roman" w:hAnsi="Times New Roman"/>
          <w:sz w:val="18"/>
          <w:szCs w:val="18"/>
          <w:u w:val="single" w:color="auto"/>
          <w:color w:val="auto"/>
        </w:rPr>
        <w:t>Annual Bonus and Non-Equity Incentive Plan Compensation</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seek to motivate and reward our executives for achievements relative to our corporate goals and objectives for each fiscal year. For the 2024 compensation year, the target bonus for Mr. Climaco, Mr. Downs and Dr. Silberman were 50%, 40%, and 40%, respectively, of their base salary.</w:t>
      </w:r>
    </w:p>
    <w:p>
      <w:pPr>
        <w:spacing w:after="0" w:line="162"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actual performance-based annual bonus paid is calculated by multiplying the executive’s annual base salary, target bonus percentage, the percentage attainment of the corporate goals established by the Board for such year. However, the Compensation Committee is not required to calculate bonuses in this manner and retains discretion in the amounts it awards and the factors it takes into consideration in determining bonus amounts. At the end of the year, the Compensation Committee reviews our performance against our goals and objectives and approves the extent to which we achieved each of our corporate goals and objectives, and, for each named executive officer, the amount of the bonus awarded.</w:t>
      </w:r>
    </w:p>
    <w:p>
      <w:pPr>
        <w:spacing w:after="0" w:line="183"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For 2024, bonuses were awarded based on our achievement of specified corporate goals, including our ability to maintain sufficient funding, certain intellectual property development goals, and preparatory activities for submission of a New Drug Application for Berubicin. Based on the level of achievement, our Compensation Committee awarded Mr. Climaco, Mr. Downs and Dr. Silberman 99%, 99% and 99.5% of their potential bonuses for 2024. These actual bonus amounts are reflected in the “Non-Equity Incentive Plans” column of the Summary Compensation Table above.</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For 2025, bonuses will be awarded at the discretion of the board of directors based on our achievement of specified corporate goals.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Long-Term Incentives</w:t>
      </w:r>
    </w:p>
    <w:p>
      <w:pPr>
        <w:spacing w:after="0" w:line="22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Each year our Compensation Committee provides for equity grants to each of our named executive officers to provide for long-term performance incentive. On March 11, 2025, the Compensation Committee recommended, and the Board approved such recommendation, equity grants for service in 2024 from the Stock Plan, subject to stockholder approval to increase the number of shares underlying the Stock Plan, for a total of options to purchase 17,082 shares of common stock at an exercise price of $30.36 that vest over 2 years.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Recoupment Policy</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We adopted the CNS Pharmaceuticals, Inc. Dodd-Frank Restatement Recoupment Policy effective as of October 2, 2023. In the event that we are required to prepare a financial restatement, the Committee will recoup all erroneously awarded incentive-based compensation calculated on a pre-tax basis received after October 2, 2023, by a person (i) after beginning service as an executive officer, (ii) who served as an executive officer at any time during the performance period for that incentive-based compensation, and (iii) during the three completed fiscal years immediately preceding the date that the Company is required to prepare a Restatement, and any transition period (that results from a change in the Company’s fiscal year) of less than nine months within or immediately following those three completed fiscal years. A “clawback” or recoupment policy in our executive compensation program contributes to creating and maintaining a culture that emphasizes integrity and accountability and reinforces the performance-based principles underlying our executive compensation program.</w:t>
      </w:r>
    </w:p>
    <w:p>
      <w:pPr>
        <w:spacing w:after="0" w:line="18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Granting of Certain Equity Awards Close in Time to the Release of Material Nonpublic Information</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We do not grant equity awards in anticipation of the release of material nonpublic information, and do not time the public release of such information based on award grant dates. During the last completed fiscal year, we have not made awards to any named executive officer during the period beginning four business days before and ending one business day after the filing of a period report on Form 10-Q or Form 10-K or the filing or furnishing of a current report on Form 8-K, and we have not timed the disclosure of material nonpublic information for the purpose of affecting the value of executive compensation.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9" w:name="page20"/>
    <w:bookmarkEnd w:id="19"/>
    <w:p>
      <w:pPr>
        <w:spacing w:after="0"/>
        <w:rPr>
          <w:sz w:val="20"/>
          <w:szCs w:val="20"/>
          <w:color w:val="auto"/>
        </w:rPr>
      </w:pPr>
      <w:r>
        <w:rPr>
          <w:rFonts w:ascii="Times New Roman" w:cs="Times New Roman" w:eastAsia="Times New Roman" w:hAnsi="Times New Roman"/>
          <w:sz w:val="18"/>
          <w:szCs w:val="18"/>
          <w:b w:val="1"/>
          <w:bCs w:val="1"/>
          <w:color w:val="auto"/>
        </w:rPr>
        <w:t>Employment Agreements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John Climaco</w:t>
      </w:r>
    </w:p>
    <w:p>
      <w:pPr>
        <w:spacing w:after="0" w:line="229"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On September 1, 2017, we entered into an employment agreement with John Climaco pursuant to which Mr. Climaco agreed to serve as our Chief Executive Officer commencing on such date for an initial term of three years. On September 1, 2020, we entered into an amendment to the employment agreement. The amendment extends the term of employment under the employment agreement for additional twelve-month periods, unless and until either the Company or Mr. Climaco provides written notice to the other party not less than sixty days before such anniversary date that such party is electing not to extend the term. If the Company provides notice of its election not to extend the term, Mr. Climaco may terminate his employment at any time prior to the expiration of the term by giving written notice to the Company at least thirty days prior to the effective date of termination, and upon the earlier of such effective date of termination or the expiration of the term, Mr. Climaco shall be entitled to receive the same severance benefits as are provided upon a termination of employment by the Company without cause. Pursuant to the amendment, the severance benefits shall be twelve months of Mr. Climaco’s base salary. Such severance payment shall be made in a single lump sum sixty days following the termination, provided that Mr. Climaco has executed and delivered to the Company, and has not revoked a general release of the Company.</w:t>
      </w:r>
    </w:p>
    <w:p>
      <w:pPr>
        <w:spacing w:after="0" w:line="19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Other Executive Arrangements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June 28, 2019, we entered into employment letters with Drs. Silberman and Picker. Dr. Silberman agreed to commit 50% of her time to our matters and Dr. Picker agreed to commit 25% of his time to our matters. In January 2025, Dr. Silberman agreed to commit 100% of her time to our matters.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Outstanding Equity Awards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following table sets forth certain information concerning our outstanding options for our named executive officers on December 31, 2024.</w:t>
      </w:r>
    </w:p>
    <w:p>
      <w:pPr>
        <w:spacing w:after="0" w:line="221" w:lineRule="exact"/>
        <w:rPr>
          <w:sz w:val="20"/>
          <w:szCs w:val="20"/>
          <w:color w:val="auto"/>
        </w:rPr>
      </w:pPr>
    </w:p>
    <w:p>
      <w:pPr>
        <w:ind w:left="3820"/>
        <w:spacing w:after="0"/>
        <w:rPr>
          <w:sz w:val="20"/>
          <w:szCs w:val="20"/>
          <w:color w:val="auto"/>
        </w:rPr>
      </w:pPr>
      <w:r>
        <w:rPr>
          <w:rFonts w:ascii="Times New Roman" w:cs="Times New Roman" w:eastAsia="Times New Roman" w:hAnsi="Times New Roman"/>
          <w:sz w:val="18"/>
          <w:szCs w:val="18"/>
          <w:b w:val="1"/>
          <w:bCs w:val="1"/>
          <w:color w:val="auto"/>
        </w:rPr>
        <w:t>Outstanding Equity Awards At Fiscal Year-End —2024</w:t>
      </w:r>
    </w:p>
    <w:p>
      <w:pPr>
        <w:spacing w:after="0" w:line="232" w:lineRule="exact"/>
        <w:rPr>
          <w:sz w:val="20"/>
          <w:szCs w:val="20"/>
          <w:color w:val="auto"/>
        </w:rPr>
      </w:pPr>
    </w:p>
    <w:tbl>
      <w:tblPr>
        <w:tblLayout w:type="fixed"/>
        <w:tblInd w:w="0" w:type="dxa"/>
        <w:tblCellMar>
          <w:top w:w="0" w:type="dxa"/>
          <w:left w:w="0" w:type="dxa"/>
          <w:bottom w:w="0" w:type="dxa"/>
          <w:right w:w="0" w:type="dxa"/>
        </w:tblCellMar>
      </w:tblPr>
      <w:tr>
        <w:trPr>
          <w:trHeight w:val="215"/>
        </w:trPr>
        <w:tc>
          <w:tcPr>
            <w:tcW w:w="182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24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2700" w:type="dxa"/>
            <w:vAlign w:val="bottom"/>
            <w:tcBorders>
              <w:bottom w:val="single" w:sz="8" w:color="auto"/>
            </w:tcBorders>
            <w:gridSpan w:val="5"/>
          </w:tcPr>
          <w:p>
            <w:pPr>
              <w:ind w:left="460"/>
              <w:spacing w:after="0"/>
              <w:rPr>
                <w:sz w:val="20"/>
                <w:szCs w:val="20"/>
                <w:color w:val="auto"/>
              </w:rPr>
            </w:pPr>
            <w:r>
              <w:rPr>
                <w:rFonts w:ascii="Times New Roman" w:cs="Times New Roman" w:eastAsia="Times New Roman" w:hAnsi="Times New Roman"/>
                <w:sz w:val="16"/>
                <w:szCs w:val="16"/>
                <w:b w:val="1"/>
                <w:bCs w:val="1"/>
                <w:color w:val="auto"/>
              </w:rPr>
              <w:t>Option Awards</w:t>
            </w:r>
          </w:p>
        </w:tc>
        <w:tc>
          <w:tcPr>
            <w:tcW w:w="124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220" w:type="dxa"/>
            <w:vAlign w:val="bottom"/>
            <w:tcBorders>
              <w:bottom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2560" w:type="dxa"/>
            <w:vAlign w:val="bottom"/>
            <w:tcBorders>
              <w:bottom w:val="single" w:sz="8" w:color="auto"/>
            </w:tcBorders>
            <w:gridSpan w:val="4"/>
          </w:tcPr>
          <w:p>
            <w:pPr>
              <w:jc w:val="right"/>
              <w:ind w:right="619"/>
              <w:spacing w:after="0"/>
              <w:rPr>
                <w:sz w:val="20"/>
                <w:szCs w:val="20"/>
                <w:color w:val="auto"/>
              </w:rPr>
            </w:pPr>
            <w:r>
              <w:rPr>
                <w:rFonts w:ascii="Times New Roman" w:cs="Times New Roman" w:eastAsia="Times New Roman" w:hAnsi="Times New Roman"/>
                <w:sz w:val="16"/>
                <w:szCs w:val="16"/>
                <w:b w:val="1"/>
                <w:bCs w:val="1"/>
                <w:color w:val="auto"/>
              </w:rPr>
              <w:t>Stock Awards (2)</w:t>
            </w:r>
          </w:p>
        </w:tc>
      </w:tr>
      <w:tr>
        <w:trPr>
          <w:trHeight w:val="183"/>
        </w:trPr>
        <w:tc>
          <w:tcPr>
            <w:tcW w:w="18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140" w:type="dxa"/>
            <w:vAlign w:val="bottom"/>
          </w:tcPr>
          <w:p>
            <w:pPr>
              <w:jc w:val="center"/>
              <w:ind w:left="19"/>
              <w:spacing w:after="0"/>
              <w:rPr>
                <w:sz w:val="20"/>
                <w:szCs w:val="20"/>
                <w:color w:val="auto"/>
              </w:rPr>
            </w:pPr>
            <w:r>
              <w:rPr>
                <w:rFonts w:ascii="Times New Roman" w:cs="Times New Roman" w:eastAsia="Times New Roman" w:hAnsi="Times New Roman"/>
                <w:sz w:val="16"/>
                <w:szCs w:val="16"/>
                <w:b w:val="1"/>
                <w:bCs w:val="1"/>
                <w:color w:val="auto"/>
              </w:rPr>
              <w:t>Number of</w:t>
            </w: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20" w:type="dxa"/>
            <w:vAlign w:val="bottom"/>
          </w:tcPr>
          <w:p>
            <w:pPr>
              <w:spacing w:after="0"/>
              <w:rPr>
                <w:sz w:val="15"/>
                <w:szCs w:val="15"/>
                <w:color w:val="auto"/>
              </w:rPr>
            </w:pP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jc w:val="center"/>
              <w:ind w:left="19"/>
              <w:spacing w:after="0"/>
              <w:rPr>
                <w:sz w:val="20"/>
                <w:szCs w:val="20"/>
                <w:color w:val="auto"/>
              </w:rPr>
            </w:pPr>
            <w:r>
              <w:rPr>
                <w:rFonts w:ascii="Times New Roman" w:cs="Times New Roman" w:eastAsia="Times New Roman" w:hAnsi="Times New Roman"/>
                <w:sz w:val="16"/>
                <w:szCs w:val="16"/>
                <w:b w:val="1"/>
                <w:bCs w:val="1"/>
                <w:color w:val="auto"/>
              </w:rPr>
              <w:t>Securities</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Number of</w:t>
            </w: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rPr>
              <w:t>Underlying</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Securities</w:t>
            </w: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w w:val="99"/>
              </w:rPr>
              <w:t>Number of</w:t>
            </w: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b w:val="1"/>
                <w:bCs w:val="1"/>
                <w:color w:val="auto"/>
              </w:rPr>
              <w:t>Market value</w:t>
            </w: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jc w:val="center"/>
              <w:ind w:left="19"/>
              <w:spacing w:after="0"/>
              <w:rPr>
                <w:sz w:val="20"/>
                <w:szCs w:val="20"/>
                <w:color w:val="auto"/>
              </w:rPr>
            </w:pPr>
            <w:r>
              <w:rPr>
                <w:rFonts w:ascii="Times New Roman" w:cs="Times New Roman" w:eastAsia="Times New Roman" w:hAnsi="Times New Roman"/>
                <w:sz w:val="16"/>
                <w:szCs w:val="16"/>
                <w:b w:val="1"/>
                <w:bCs w:val="1"/>
                <w:color w:val="auto"/>
              </w:rPr>
              <w:t>Unexercised</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Underlying</w:t>
            </w:r>
          </w:p>
        </w:tc>
        <w:tc>
          <w:tcPr>
            <w:tcW w:w="134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w w:val="99"/>
              </w:rPr>
              <w:t>Option</w:t>
            </w: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w w:val="98"/>
              </w:rPr>
              <w:t>shares or</w:t>
            </w: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b w:val="1"/>
                <w:bCs w:val="1"/>
                <w:color w:val="auto"/>
                <w:w w:val="99"/>
              </w:rPr>
              <w:t>of shares of</w:t>
            </w: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40" w:type="dxa"/>
            <w:vAlign w:val="bottom"/>
          </w:tcPr>
          <w:p>
            <w:pPr>
              <w:jc w:val="center"/>
              <w:ind w:left="19"/>
              <w:spacing w:after="0"/>
              <w:rPr>
                <w:sz w:val="20"/>
                <w:szCs w:val="20"/>
                <w:color w:val="auto"/>
              </w:rPr>
            </w:pPr>
            <w:r>
              <w:rPr>
                <w:rFonts w:ascii="Times New Roman" w:cs="Times New Roman" w:eastAsia="Times New Roman" w:hAnsi="Times New Roman"/>
                <w:sz w:val="16"/>
                <w:szCs w:val="16"/>
                <w:b w:val="1"/>
                <w:bCs w:val="1"/>
                <w:color w:val="auto"/>
              </w:rPr>
              <w:t>Options</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Unexercised</w:t>
            </w:r>
          </w:p>
        </w:tc>
        <w:tc>
          <w:tcPr>
            <w:tcW w:w="1340" w:type="dxa"/>
            <w:vAlign w:val="bottom"/>
            <w:gridSpan w:val="2"/>
          </w:tcPr>
          <w:p>
            <w:pPr>
              <w:jc w:val="center"/>
              <w:ind w:right="120"/>
              <w:spacing w:after="0"/>
              <w:rPr>
                <w:sz w:val="20"/>
                <w:szCs w:val="20"/>
                <w:color w:val="auto"/>
              </w:rPr>
            </w:pPr>
            <w:r>
              <w:rPr>
                <w:rFonts w:ascii="Times New Roman" w:cs="Times New Roman" w:eastAsia="Times New Roman" w:hAnsi="Times New Roman"/>
                <w:sz w:val="16"/>
                <w:szCs w:val="16"/>
                <w:b w:val="1"/>
                <w:bCs w:val="1"/>
                <w:color w:val="auto"/>
              </w:rPr>
              <w:t>Exercise</w:t>
            </w: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w w:val="99"/>
              </w:rPr>
              <w:t>units of stock</w:t>
            </w: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b w:val="1"/>
                <w:bCs w:val="1"/>
                <w:color w:val="auto"/>
              </w:rPr>
              <w:t>units of stock</w:t>
            </w: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60" w:type="dxa"/>
            <w:vAlign w:val="bottom"/>
            <w:gridSpan w:val="2"/>
          </w:tcPr>
          <w:p>
            <w:pPr>
              <w:ind w:left="140"/>
              <w:spacing w:after="0"/>
              <w:rPr>
                <w:sz w:val="20"/>
                <w:szCs w:val="20"/>
                <w:color w:val="auto"/>
              </w:rPr>
            </w:pPr>
            <w:r>
              <w:rPr>
                <w:rFonts w:ascii="Times New Roman" w:cs="Times New Roman" w:eastAsia="Times New Roman" w:hAnsi="Times New Roman"/>
                <w:sz w:val="16"/>
                <w:szCs w:val="16"/>
                <w:b w:val="1"/>
                <w:bCs w:val="1"/>
                <w:color w:val="auto"/>
              </w:rPr>
              <w:t>Grant Date of</w:t>
            </w:r>
          </w:p>
        </w:tc>
        <w:tc>
          <w:tcPr>
            <w:tcW w:w="1140" w:type="dxa"/>
            <w:vAlign w:val="bottom"/>
          </w:tcPr>
          <w:p>
            <w:pPr>
              <w:jc w:val="center"/>
              <w:ind w:left="19"/>
              <w:spacing w:after="0"/>
              <w:rPr>
                <w:sz w:val="20"/>
                <w:szCs w:val="20"/>
                <w:color w:val="auto"/>
              </w:rPr>
            </w:pPr>
            <w:r>
              <w:rPr>
                <w:rFonts w:ascii="Times New Roman" w:cs="Times New Roman" w:eastAsia="Times New Roman" w:hAnsi="Times New Roman"/>
                <w:sz w:val="16"/>
                <w:szCs w:val="16"/>
                <w:b w:val="1"/>
                <w:bCs w:val="1"/>
                <w:color w:val="auto"/>
              </w:rPr>
              <w:t>(#)</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w w:val="98"/>
              </w:rPr>
              <w:t>Options (#)</w:t>
            </w:r>
          </w:p>
        </w:tc>
        <w:tc>
          <w:tcPr>
            <w:tcW w:w="134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Price</w:t>
            </w:r>
          </w:p>
        </w:tc>
        <w:tc>
          <w:tcPr>
            <w:tcW w:w="1340" w:type="dxa"/>
            <w:vAlign w:val="bottom"/>
            <w:gridSpan w:val="2"/>
          </w:tcPr>
          <w:p>
            <w:pPr>
              <w:jc w:val="center"/>
              <w:ind w:right="120"/>
              <w:spacing w:after="0"/>
              <w:rPr>
                <w:sz w:val="20"/>
                <w:szCs w:val="20"/>
                <w:color w:val="auto"/>
              </w:rPr>
            </w:pPr>
            <w:r>
              <w:rPr>
                <w:rFonts w:ascii="Times New Roman" w:cs="Times New Roman" w:eastAsia="Times New Roman" w:hAnsi="Times New Roman"/>
                <w:sz w:val="16"/>
                <w:szCs w:val="16"/>
                <w:b w:val="1"/>
                <w:bCs w:val="1"/>
                <w:color w:val="auto"/>
              </w:rPr>
              <w:t>Option</w:t>
            </w:r>
          </w:p>
        </w:tc>
        <w:tc>
          <w:tcPr>
            <w:tcW w:w="110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rPr>
              <w:t>that have</w:t>
            </w: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b w:val="1"/>
                <w:bCs w:val="1"/>
                <w:color w:val="auto"/>
              </w:rPr>
              <w:t>that have</w:t>
            </w:r>
          </w:p>
        </w:tc>
      </w:tr>
      <w:tr>
        <w:trPr>
          <w:trHeight w:val="212"/>
        </w:trPr>
        <w:tc>
          <w:tcPr>
            <w:tcW w:w="1940" w:type="dxa"/>
            <w:vAlign w:val="bottom"/>
            <w:gridSpan w:val="2"/>
          </w:tcPr>
          <w:p>
            <w:pPr>
              <w:spacing w:after="0"/>
              <w:rPr>
                <w:sz w:val="20"/>
                <w:szCs w:val="20"/>
                <w:color w:val="auto"/>
              </w:rPr>
            </w:pPr>
            <w:r>
              <w:rPr>
                <w:rFonts w:ascii="Times New Roman" w:cs="Times New Roman" w:eastAsia="Times New Roman" w:hAnsi="Times New Roman"/>
                <w:sz w:val="16"/>
                <w:szCs w:val="16"/>
                <w:b w:val="1"/>
                <w:bCs w:val="1"/>
                <w:color w:val="auto"/>
              </w:rPr>
              <w:t>Name</w:t>
            </w:r>
          </w:p>
        </w:tc>
        <w:tc>
          <w:tcPr>
            <w:tcW w:w="1360" w:type="dxa"/>
            <w:vAlign w:val="bottom"/>
            <w:gridSpan w:val="2"/>
          </w:tcPr>
          <w:p>
            <w:pPr>
              <w:ind w:left="140"/>
              <w:spacing w:after="0"/>
              <w:rPr>
                <w:sz w:val="20"/>
                <w:szCs w:val="20"/>
                <w:color w:val="auto"/>
              </w:rPr>
            </w:pPr>
            <w:r>
              <w:rPr>
                <w:rFonts w:ascii="Times New Roman" w:cs="Times New Roman" w:eastAsia="Times New Roman" w:hAnsi="Times New Roman"/>
                <w:sz w:val="16"/>
                <w:szCs w:val="16"/>
                <w:b w:val="1"/>
                <w:bCs w:val="1"/>
                <w:color w:val="auto"/>
              </w:rPr>
              <w:t>Equity Award</w:t>
            </w:r>
          </w:p>
        </w:tc>
        <w:tc>
          <w:tcPr>
            <w:tcW w:w="1140" w:type="dxa"/>
            <w:vAlign w:val="bottom"/>
          </w:tcPr>
          <w:p>
            <w:pPr>
              <w:jc w:val="center"/>
              <w:ind w:left="19"/>
              <w:spacing w:after="0"/>
              <w:rPr>
                <w:sz w:val="20"/>
                <w:szCs w:val="20"/>
                <w:color w:val="auto"/>
              </w:rPr>
            </w:pPr>
            <w:r>
              <w:rPr>
                <w:rFonts w:ascii="Times New Roman" w:cs="Times New Roman" w:eastAsia="Times New Roman" w:hAnsi="Times New Roman"/>
                <w:sz w:val="16"/>
                <w:szCs w:val="16"/>
                <w:b w:val="1"/>
                <w:bCs w:val="1"/>
                <w:color w:val="auto"/>
              </w:rPr>
              <w:t>Exercisable (1)</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4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Unexercisable (1)</w:t>
            </w:r>
          </w:p>
        </w:tc>
        <w:tc>
          <w:tcPr>
            <w:tcW w:w="1240" w:type="dxa"/>
            <w:vAlign w:val="bottom"/>
          </w:tcPr>
          <w:p>
            <w:pPr>
              <w:jc w:val="center"/>
              <w:spacing w:after="0"/>
              <w:rPr>
                <w:sz w:val="20"/>
                <w:szCs w:val="20"/>
                <w:color w:val="auto"/>
              </w:rPr>
            </w:pPr>
            <w:r>
              <w:rPr>
                <w:rFonts w:ascii="Times New Roman" w:cs="Times New Roman" w:eastAsia="Times New Roman" w:hAnsi="Times New Roman"/>
                <w:sz w:val="16"/>
                <w:szCs w:val="16"/>
                <w:b w:val="1"/>
                <w:bCs w:val="1"/>
                <w:color w:val="auto"/>
              </w:rPr>
              <w:t>($)</w:t>
            </w:r>
          </w:p>
        </w:tc>
        <w:tc>
          <w:tcPr>
            <w:tcW w:w="100" w:type="dxa"/>
            <w:vAlign w:val="bottom"/>
          </w:tcPr>
          <w:p>
            <w:pPr>
              <w:spacing w:after="0"/>
              <w:rPr>
                <w:sz w:val="18"/>
                <w:szCs w:val="18"/>
                <w:color w:val="auto"/>
              </w:rPr>
            </w:pPr>
          </w:p>
        </w:tc>
        <w:tc>
          <w:tcPr>
            <w:tcW w:w="1340" w:type="dxa"/>
            <w:vAlign w:val="bottom"/>
            <w:gridSpan w:val="2"/>
          </w:tcPr>
          <w:p>
            <w:pPr>
              <w:jc w:val="center"/>
              <w:ind w:right="120"/>
              <w:spacing w:after="0"/>
              <w:rPr>
                <w:sz w:val="20"/>
                <w:szCs w:val="20"/>
                <w:color w:val="auto"/>
              </w:rPr>
            </w:pPr>
            <w:r>
              <w:rPr>
                <w:rFonts w:ascii="Times New Roman" w:cs="Times New Roman" w:eastAsia="Times New Roman" w:hAnsi="Times New Roman"/>
                <w:sz w:val="16"/>
                <w:szCs w:val="16"/>
                <w:b w:val="1"/>
                <w:bCs w:val="1"/>
                <w:color w:val="auto"/>
              </w:rPr>
              <w:t>Expiration Date</w:t>
            </w:r>
          </w:p>
        </w:tc>
        <w:tc>
          <w:tcPr>
            <w:tcW w:w="1100" w:type="dxa"/>
            <w:vAlign w:val="bottom"/>
          </w:tcPr>
          <w:p>
            <w:pPr>
              <w:jc w:val="center"/>
              <w:ind w:left="39"/>
              <w:spacing w:after="0"/>
              <w:rPr>
                <w:sz w:val="20"/>
                <w:szCs w:val="20"/>
                <w:color w:val="auto"/>
              </w:rPr>
            </w:pPr>
            <w:r>
              <w:rPr>
                <w:rFonts w:ascii="Times New Roman" w:cs="Times New Roman" w:eastAsia="Times New Roman" w:hAnsi="Times New Roman"/>
                <w:sz w:val="16"/>
                <w:szCs w:val="16"/>
                <w:b w:val="1"/>
                <w:bCs w:val="1"/>
                <w:color w:val="auto"/>
              </w:rPr>
              <w:t>not vested (#)</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b w:val="1"/>
                <w:bCs w:val="1"/>
                <w:color w:val="auto"/>
              </w:rPr>
              <w:t>not vested ($) (3)</w:t>
            </w:r>
          </w:p>
        </w:tc>
      </w:tr>
      <w:tr>
        <w:trPr>
          <w:trHeight w:val="202"/>
        </w:trPr>
        <w:tc>
          <w:tcPr>
            <w:tcW w:w="182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6"/>
                <w:szCs w:val="16"/>
                <w:color w:val="auto"/>
              </w:rPr>
              <w:t>John Climaco</w:t>
            </w:r>
          </w:p>
        </w:tc>
        <w:tc>
          <w:tcPr>
            <w:tcW w:w="120" w:type="dxa"/>
            <w:vAlign w:val="bottom"/>
            <w:tcBorders>
              <w:top w:val="single" w:sz="8" w:color="EEEEEE"/>
            </w:tcBorders>
            <w:shd w:val="clear" w:color="auto" w:fill="EEEEEE"/>
          </w:tcPr>
          <w:p>
            <w:pPr>
              <w:spacing w:after="0"/>
              <w:rPr>
                <w:sz w:val="17"/>
                <w:szCs w:val="17"/>
                <w:color w:val="auto"/>
              </w:rPr>
            </w:pPr>
          </w:p>
        </w:tc>
        <w:tc>
          <w:tcPr>
            <w:tcW w:w="1240" w:type="dxa"/>
            <w:vAlign w:val="bottom"/>
            <w:tcBorders>
              <w:top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w w:val="98"/>
              </w:rPr>
              <w:t>4/7/2024</w:t>
            </w:r>
          </w:p>
        </w:tc>
        <w:tc>
          <w:tcPr>
            <w:tcW w:w="120" w:type="dxa"/>
            <w:vAlign w:val="bottom"/>
            <w:tcBorders>
              <w:top w:val="single" w:sz="8" w:color="EEEEEE"/>
            </w:tcBorders>
            <w:shd w:val="clear" w:color="auto" w:fill="EEEEEE"/>
          </w:tcPr>
          <w:p>
            <w:pPr>
              <w:spacing w:after="0"/>
              <w:rPr>
                <w:sz w:val="17"/>
                <w:szCs w:val="17"/>
                <w:color w:val="auto"/>
              </w:rPr>
            </w:pPr>
          </w:p>
        </w:tc>
        <w:tc>
          <w:tcPr>
            <w:tcW w:w="1140" w:type="dxa"/>
            <w:vAlign w:val="bottom"/>
            <w:tcBorders>
              <w:top w:val="single" w:sz="8" w:color="auto"/>
            </w:tcBorders>
            <w:shd w:val="clear" w:color="auto" w:fill="EEEEEE"/>
          </w:tcPr>
          <w:p>
            <w:pPr>
              <w:spacing w:after="0"/>
              <w:rPr>
                <w:sz w:val="17"/>
                <w:szCs w:val="17"/>
                <w:color w:val="auto"/>
              </w:rPr>
            </w:pPr>
          </w:p>
        </w:tc>
        <w:tc>
          <w:tcPr>
            <w:tcW w:w="1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w w:val="99"/>
              </w:rPr>
              <w:t>2</w:t>
            </w:r>
          </w:p>
        </w:tc>
        <w:tc>
          <w:tcPr>
            <w:tcW w:w="120" w:type="dxa"/>
            <w:vAlign w:val="bottom"/>
            <w:tcBorders>
              <w:top w:val="single" w:sz="8" w:color="EEEEEE"/>
            </w:tcBorders>
            <w:shd w:val="clear" w:color="auto" w:fill="EEEEEE"/>
          </w:tcPr>
          <w:p>
            <w:pPr>
              <w:spacing w:after="0"/>
              <w:rPr>
                <w:sz w:val="17"/>
                <w:szCs w:val="17"/>
                <w:color w:val="auto"/>
              </w:rPr>
            </w:pPr>
          </w:p>
        </w:tc>
        <w:tc>
          <w:tcPr>
            <w:tcW w:w="124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w:t>
            </w:r>
          </w:p>
        </w:tc>
        <w:tc>
          <w:tcPr>
            <w:tcW w:w="100" w:type="dxa"/>
            <w:vAlign w:val="bottom"/>
            <w:tcBorders>
              <w:top w:val="single" w:sz="8" w:color="EEEEEE"/>
            </w:tcBorders>
            <w:shd w:val="clear" w:color="auto" w:fill="EEEEEE"/>
          </w:tcPr>
          <w:p>
            <w:pPr>
              <w:spacing w:after="0"/>
              <w:rPr>
                <w:sz w:val="17"/>
                <w:szCs w:val="17"/>
                <w:color w:val="auto"/>
              </w:rPr>
            </w:pPr>
          </w:p>
        </w:tc>
        <w:tc>
          <w:tcPr>
            <w:tcW w:w="124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7,758</w:t>
            </w:r>
          </w:p>
        </w:tc>
        <w:tc>
          <w:tcPr>
            <w:tcW w:w="100" w:type="dxa"/>
            <w:vAlign w:val="bottom"/>
            <w:tcBorders>
              <w:top w:val="single" w:sz="8" w:color="EEEEEE"/>
            </w:tcBorders>
            <w:shd w:val="clear" w:color="auto" w:fill="EEEEEE"/>
          </w:tcPr>
          <w:p>
            <w:pPr>
              <w:spacing w:after="0"/>
              <w:rPr>
                <w:sz w:val="17"/>
                <w:szCs w:val="17"/>
                <w:color w:val="auto"/>
              </w:rPr>
            </w:pPr>
          </w:p>
        </w:tc>
        <w:tc>
          <w:tcPr>
            <w:tcW w:w="1220" w:type="dxa"/>
            <w:vAlign w:val="bottom"/>
            <w:tcBorders>
              <w:top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rPr>
              <w:t>4/27/2034</w:t>
            </w:r>
          </w:p>
        </w:tc>
        <w:tc>
          <w:tcPr>
            <w:tcW w:w="120" w:type="dxa"/>
            <w:vAlign w:val="bottom"/>
            <w:tcBorders>
              <w:top w:val="single" w:sz="8" w:color="EEEEEE"/>
            </w:tcBorders>
            <w:shd w:val="clear" w:color="auto" w:fill="EEEEEE"/>
          </w:tcPr>
          <w:p>
            <w:pPr>
              <w:spacing w:after="0"/>
              <w:rPr>
                <w:sz w:val="17"/>
                <w:szCs w:val="17"/>
                <w:color w:val="auto"/>
              </w:rPr>
            </w:pPr>
          </w:p>
        </w:tc>
        <w:tc>
          <w:tcPr>
            <w:tcW w:w="1100" w:type="dxa"/>
            <w:vAlign w:val="bottom"/>
            <w:tcBorders>
              <w:top w:val="single" w:sz="8" w:color="auto"/>
            </w:tcBorders>
            <w:shd w:val="clear" w:color="auto" w:fill="EEEEEE"/>
          </w:tcPr>
          <w:p>
            <w:pPr>
              <w:spacing w:after="0"/>
              <w:rPr>
                <w:sz w:val="17"/>
                <w:szCs w:val="17"/>
                <w:color w:val="auto"/>
              </w:rPr>
            </w:pPr>
          </w:p>
        </w:tc>
        <w:tc>
          <w:tcPr>
            <w:tcW w:w="1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2</w:t>
            </w:r>
          </w:p>
        </w:tc>
        <w:tc>
          <w:tcPr>
            <w:tcW w:w="120" w:type="dxa"/>
            <w:vAlign w:val="bottom"/>
            <w:tcBorders>
              <w:top w:val="single" w:sz="8" w:color="EEEEEE"/>
            </w:tcBorders>
            <w:shd w:val="clear" w:color="auto" w:fill="EEEEEE"/>
          </w:tcPr>
          <w:p>
            <w:pPr>
              <w:spacing w:after="0"/>
              <w:rPr>
                <w:sz w:val="17"/>
                <w:szCs w:val="17"/>
                <w:color w:val="auto"/>
              </w:rPr>
            </w:pPr>
          </w:p>
        </w:tc>
        <w:tc>
          <w:tcPr>
            <w:tcW w:w="12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144</w:t>
            </w: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jc w:val="center"/>
              <w:spacing w:after="0"/>
              <w:rPr>
                <w:sz w:val="20"/>
                <w:szCs w:val="20"/>
                <w:color w:val="auto"/>
              </w:rPr>
            </w:pPr>
            <w:r>
              <w:rPr>
                <w:rFonts w:ascii="Times New Roman" w:cs="Times New Roman" w:eastAsia="Times New Roman" w:hAnsi="Times New Roman"/>
                <w:sz w:val="16"/>
                <w:szCs w:val="16"/>
                <w:color w:val="auto"/>
                <w:w w:val="98"/>
              </w:rPr>
              <w:t>3/29/2023</w:t>
            </w: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2</w:t>
            </w:r>
          </w:p>
        </w:tc>
        <w:tc>
          <w:tcPr>
            <w:tcW w:w="12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29,880</w:t>
            </w:r>
          </w:p>
        </w:tc>
        <w:tc>
          <w:tcPr>
            <w:tcW w:w="10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color w:val="auto"/>
              </w:rPr>
              <w:t>3/27/2033</w:t>
            </w: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r>
      <w:tr>
        <w:trPr>
          <w:trHeight w:val="203"/>
        </w:trPr>
        <w:tc>
          <w:tcPr>
            <w:tcW w:w="18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w w:val="98"/>
              </w:rPr>
              <w:t>4/28/2022</w:t>
            </w:r>
          </w:p>
        </w:tc>
        <w:tc>
          <w:tcPr>
            <w:tcW w:w="120" w:type="dxa"/>
            <w:vAlign w:val="bottom"/>
            <w:shd w:val="clear" w:color="auto" w:fill="EEEEEE"/>
          </w:tcPr>
          <w:p>
            <w:pPr>
              <w:spacing w:after="0"/>
              <w:rPr>
                <w:sz w:val="17"/>
                <w:szCs w:val="17"/>
                <w:color w:val="auto"/>
              </w:rPr>
            </w:pPr>
          </w:p>
        </w:tc>
        <w:tc>
          <w:tcPr>
            <w:tcW w:w="1140" w:type="dxa"/>
            <w:vAlign w:val="bottom"/>
            <w:shd w:val="clear" w:color="auto" w:fill="EEEEEE"/>
          </w:tcPr>
          <w:p>
            <w:pPr>
              <w:spacing w:after="0"/>
              <w:rPr>
                <w:sz w:val="17"/>
                <w:szCs w:val="17"/>
                <w:color w:val="auto"/>
              </w:rPr>
            </w:pPr>
          </w:p>
        </w:tc>
        <w:tc>
          <w:tcPr>
            <w:tcW w:w="10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40" w:type="dxa"/>
            <w:vAlign w:val="bottom"/>
            <w:shd w:val="clear" w:color="auto" w:fill="EEEEEE"/>
          </w:tcPr>
          <w:p>
            <w:pPr>
              <w:spacing w:after="0"/>
              <w:rPr>
                <w:sz w:val="17"/>
                <w:szCs w:val="17"/>
                <w:color w:val="auto"/>
              </w:rPr>
            </w:pPr>
          </w:p>
        </w:tc>
        <w:tc>
          <w:tcPr>
            <w:tcW w:w="100" w:type="dxa"/>
            <w:vAlign w:val="bottom"/>
            <w:shd w:val="clear" w:color="auto" w:fill="EEEEEE"/>
          </w:tcPr>
          <w:p>
            <w:pPr>
              <w:spacing w:after="0"/>
              <w:rPr>
                <w:sz w:val="17"/>
                <w:szCs w:val="17"/>
                <w:color w:val="auto"/>
              </w:rPr>
            </w:pPr>
          </w:p>
        </w:tc>
        <w:tc>
          <w:tcPr>
            <w:tcW w:w="1240" w:type="dxa"/>
            <w:vAlign w:val="bottom"/>
            <w:shd w:val="clear" w:color="auto" w:fill="EEEEEE"/>
          </w:tcPr>
          <w:p>
            <w:pPr>
              <w:spacing w:after="0"/>
              <w:rPr>
                <w:sz w:val="17"/>
                <w:szCs w:val="17"/>
                <w:color w:val="auto"/>
              </w:rPr>
            </w:pPr>
          </w:p>
        </w:tc>
        <w:tc>
          <w:tcPr>
            <w:tcW w:w="100" w:type="dxa"/>
            <w:vAlign w:val="bottom"/>
            <w:shd w:val="clear" w:color="auto" w:fill="EEEEEE"/>
          </w:tcPr>
          <w:p>
            <w:pPr>
              <w:spacing w:after="0"/>
              <w:rPr>
                <w:sz w:val="17"/>
                <w:szCs w:val="17"/>
                <w:color w:val="auto"/>
              </w:rPr>
            </w:pPr>
          </w:p>
        </w:tc>
        <w:tc>
          <w:tcPr>
            <w:tcW w:w="12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10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20" w:type="dxa"/>
            <w:vAlign w:val="bottom"/>
            <w:shd w:val="clear" w:color="auto" w:fill="EEEEEE"/>
          </w:tcPr>
          <w:p>
            <w:pPr>
              <w:spacing w:after="0"/>
              <w:rPr>
                <w:sz w:val="17"/>
                <w:szCs w:val="17"/>
                <w:color w:val="auto"/>
              </w:rPr>
            </w:pP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jc w:val="center"/>
              <w:spacing w:after="0"/>
              <w:rPr>
                <w:sz w:val="20"/>
                <w:szCs w:val="20"/>
                <w:color w:val="auto"/>
              </w:rPr>
            </w:pPr>
            <w:r>
              <w:rPr>
                <w:rFonts w:ascii="Times New Roman" w:cs="Times New Roman" w:eastAsia="Times New Roman" w:hAnsi="Times New Roman"/>
                <w:sz w:val="16"/>
                <w:szCs w:val="16"/>
                <w:color w:val="auto"/>
                <w:w w:val="98"/>
              </w:rPr>
              <w:t>2/5/2021</w:t>
            </w: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w:t>
            </w:r>
          </w:p>
        </w:tc>
        <w:tc>
          <w:tcPr>
            <w:tcW w:w="12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3,024,000</w:t>
            </w:r>
          </w:p>
        </w:tc>
        <w:tc>
          <w:tcPr>
            <w:tcW w:w="10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color w:val="auto"/>
              </w:rPr>
              <w:t>2/5/2031</w:t>
            </w: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r>
      <w:tr>
        <w:trPr>
          <w:trHeight w:val="203"/>
        </w:trPr>
        <w:tc>
          <w:tcPr>
            <w:tcW w:w="18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w w:val="98"/>
              </w:rPr>
              <w:t>6/28/2019</w:t>
            </w:r>
          </w:p>
        </w:tc>
        <w:tc>
          <w:tcPr>
            <w:tcW w:w="120" w:type="dxa"/>
            <w:vAlign w:val="bottom"/>
            <w:shd w:val="clear" w:color="auto" w:fill="EEEEEE"/>
          </w:tcPr>
          <w:p>
            <w:pPr>
              <w:spacing w:after="0"/>
              <w:rPr>
                <w:sz w:val="17"/>
                <w:szCs w:val="17"/>
                <w:color w:val="auto"/>
              </w:rPr>
            </w:pPr>
          </w:p>
        </w:tc>
        <w:tc>
          <w:tcPr>
            <w:tcW w:w="1140" w:type="dxa"/>
            <w:vAlign w:val="bottom"/>
            <w:shd w:val="clear" w:color="auto" w:fill="EEEEEE"/>
          </w:tcPr>
          <w:p>
            <w:pPr>
              <w:spacing w:after="0"/>
              <w:rPr>
                <w:sz w:val="17"/>
                <w:szCs w:val="17"/>
                <w:color w:val="auto"/>
              </w:rPr>
            </w:pPr>
          </w:p>
        </w:tc>
        <w:tc>
          <w:tcPr>
            <w:tcW w:w="22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6"/>
                <w:szCs w:val="16"/>
                <w:color w:val="auto"/>
              </w:rPr>
              <w:t>–</w:t>
            </w:r>
          </w:p>
        </w:tc>
        <w:tc>
          <w:tcPr>
            <w:tcW w:w="124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1,800,000</w:t>
            </w:r>
          </w:p>
        </w:tc>
        <w:tc>
          <w:tcPr>
            <w:tcW w:w="100" w:type="dxa"/>
            <w:vAlign w:val="bottom"/>
            <w:shd w:val="clear" w:color="auto" w:fill="EEEEEE"/>
          </w:tcPr>
          <w:p>
            <w:pPr>
              <w:spacing w:after="0"/>
              <w:rPr>
                <w:sz w:val="17"/>
                <w:szCs w:val="17"/>
                <w:color w:val="auto"/>
              </w:rPr>
            </w:pPr>
          </w:p>
        </w:tc>
        <w:tc>
          <w:tcPr>
            <w:tcW w:w="122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rPr>
              <w:t>6/28/2029</w:t>
            </w:r>
          </w:p>
        </w:tc>
        <w:tc>
          <w:tcPr>
            <w:tcW w:w="120" w:type="dxa"/>
            <w:vAlign w:val="bottom"/>
            <w:shd w:val="clear" w:color="auto" w:fill="EEEEEE"/>
          </w:tcPr>
          <w:p>
            <w:pPr>
              <w:spacing w:after="0"/>
              <w:rPr>
                <w:sz w:val="17"/>
                <w:szCs w:val="17"/>
                <w:color w:val="auto"/>
              </w:rPr>
            </w:pPr>
          </w:p>
        </w:tc>
        <w:tc>
          <w:tcPr>
            <w:tcW w:w="110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20" w:type="dxa"/>
            <w:vAlign w:val="bottom"/>
            <w:shd w:val="clear" w:color="auto" w:fill="EEEEEE"/>
          </w:tcPr>
          <w:p>
            <w:pPr>
              <w:spacing w:after="0"/>
              <w:rPr>
                <w:sz w:val="17"/>
                <w:szCs w:val="17"/>
                <w:color w:val="auto"/>
              </w:rPr>
            </w:pPr>
          </w:p>
        </w:tc>
      </w:tr>
      <w:tr>
        <w:trPr>
          <w:trHeight w:val="203"/>
        </w:trPr>
        <w:tc>
          <w:tcPr>
            <w:tcW w:w="194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Christopher Downs</w:t>
            </w:r>
          </w:p>
        </w:tc>
        <w:tc>
          <w:tcPr>
            <w:tcW w:w="1240" w:type="dxa"/>
            <w:vAlign w:val="bottom"/>
          </w:tcPr>
          <w:p>
            <w:pPr>
              <w:jc w:val="center"/>
              <w:spacing w:after="0"/>
              <w:rPr>
                <w:sz w:val="20"/>
                <w:szCs w:val="20"/>
                <w:color w:val="auto"/>
              </w:rPr>
            </w:pPr>
            <w:r>
              <w:rPr>
                <w:rFonts w:ascii="Times New Roman" w:cs="Times New Roman" w:eastAsia="Times New Roman" w:hAnsi="Times New Roman"/>
                <w:sz w:val="16"/>
                <w:szCs w:val="16"/>
                <w:color w:val="auto"/>
                <w:w w:val="98"/>
              </w:rPr>
              <w:t>4/7/2024</w:t>
            </w: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1</w:t>
            </w:r>
          </w:p>
        </w:tc>
        <w:tc>
          <w:tcPr>
            <w:tcW w:w="12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7,758</w:t>
            </w:r>
          </w:p>
        </w:tc>
        <w:tc>
          <w:tcPr>
            <w:tcW w:w="10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color w:val="auto"/>
              </w:rPr>
              <w:t>4/27/2034</w:t>
            </w: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w:t>
            </w:r>
          </w:p>
        </w:tc>
        <w:tc>
          <w:tcPr>
            <w:tcW w:w="120" w:type="dxa"/>
            <w:vAlign w:val="bottom"/>
          </w:tcPr>
          <w:p>
            <w:pPr>
              <w:spacing w:after="0"/>
              <w:rPr>
                <w:sz w:val="17"/>
                <w:szCs w:val="17"/>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72</w:t>
            </w:r>
          </w:p>
        </w:tc>
      </w:tr>
      <w:tr>
        <w:trPr>
          <w:trHeight w:val="203"/>
        </w:trPr>
        <w:tc>
          <w:tcPr>
            <w:tcW w:w="18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w w:val="98"/>
              </w:rPr>
              <w:t>3/29/2023</w:t>
            </w:r>
          </w:p>
        </w:tc>
        <w:tc>
          <w:tcPr>
            <w:tcW w:w="120" w:type="dxa"/>
            <w:vAlign w:val="bottom"/>
            <w:shd w:val="clear" w:color="auto" w:fill="EEEEEE"/>
          </w:tcPr>
          <w:p>
            <w:pPr>
              <w:spacing w:after="0"/>
              <w:rPr>
                <w:sz w:val="17"/>
                <w:szCs w:val="17"/>
                <w:color w:val="auto"/>
              </w:rPr>
            </w:pPr>
          </w:p>
        </w:tc>
        <w:tc>
          <w:tcPr>
            <w:tcW w:w="1140" w:type="dxa"/>
            <w:vAlign w:val="bottom"/>
            <w:shd w:val="clear" w:color="auto" w:fill="EEEEEE"/>
          </w:tcPr>
          <w:p>
            <w:pPr>
              <w:spacing w:after="0"/>
              <w:rPr>
                <w:sz w:val="17"/>
                <w:szCs w:val="17"/>
                <w:color w:val="auto"/>
              </w:rPr>
            </w:pPr>
          </w:p>
        </w:tc>
        <w:tc>
          <w:tcPr>
            <w:tcW w:w="22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6"/>
                <w:szCs w:val="16"/>
                <w:color w:val="auto"/>
              </w:rPr>
              <w:t>2</w:t>
            </w:r>
          </w:p>
        </w:tc>
        <w:tc>
          <w:tcPr>
            <w:tcW w:w="124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29,880</w:t>
            </w:r>
          </w:p>
        </w:tc>
        <w:tc>
          <w:tcPr>
            <w:tcW w:w="100" w:type="dxa"/>
            <w:vAlign w:val="bottom"/>
            <w:shd w:val="clear" w:color="auto" w:fill="EEEEEE"/>
          </w:tcPr>
          <w:p>
            <w:pPr>
              <w:spacing w:after="0"/>
              <w:rPr>
                <w:sz w:val="17"/>
                <w:szCs w:val="17"/>
                <w:color w:val="auto"/>
              </w:rPr>
            </w:pPr>
          </w:p>
        </w:tc>
        <w:tc>
          <w:tcPr>
            <w:tcW w:w="122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rPr>
              <w:t>3/27/2033</w:t>
            </w:r>
          </w:p>
        </w:tc>
        <w:tc>
          <w:tcPr>
            <w:tcW w:w="120" w:type="dxa"/>
            <w:vAlign w:val="bottom"/>
            <w:shd w:val="clear" w:color="auto" w:fill="EEEEEE"/>
          </w:tcPr>
          <w:p>
            <w:pPr>
              <w:spacing w:after="0"/>
              <w:rPr>
                <w:sz w:val="17"/>
                <w:szCs w:val="17"/>
                <w:color w:val="auto"/>
              </w:rPr>
            </w:pPr>
          </w:p>
        </w:tc>
        <w:tc>
          <w:tcPr>
            <w:tcW w:w="110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20" w:type="dxa"/>
            <w:vAlign w:val="bottom"/>
            <w:shd w:val="clear" w:color="auto" w:fill="EEEEEE"/>
          </w:tcPr>
          <w:p>
            <w:pPr>
              <w:spacing w:after="0"/>
              <w:rPr>
                <w:sz w:val="17"/>
                <w:szCs w:val="17"/>
                <w:color w:val="auto"/>
              </w:rPr>
            </w:pP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jc w:val="center"/>
              <w:spacing w:after="0"/>
              <w:rPr>
                <w:sz w:val="20"/>
                <w:szCs w:val="20"/>
                <w:color w:val="auto"/>
              </w:rPr>
            </w:pPr>
            <w:r>
              <w:rPr>
                <w:rFonts w:ascii="Times New Roman" w:cs="Times New Roman" w:eastAsia="Times New Roman" w:hAnsi="Times New Roman"/>
                <w:sz w:val="16"/>
                <w:szCs w:val="16"/>
                <w:color w:val="auto"/>
                <w:w w:val="98"/>
              </w:rPr>
              <w:t>4/28/2022</w:t>
            </w: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r>
      <w:tr>
        <w:trPr>
          <w:trHeight w:val="203"/>
        </w:trPr>
        <w:tc>
          <w:tcPr>
            <w:tcW w:w="18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w w:val="98"/>
              </w:rPr>
              <w:t>2/5/2021</w:t>
            </w:r>
          </w:p>
        </w:tc>
        <w:tc>
          <w:tcPr>
            <w:tcW w:w="120" w:type="dxa"/>
            <w:vAlign w:val="bottom"/>
            <w:shd w:val="clear" w:color="auto" w:fill="EEEEEE"/>
          </w:tcPr>
          <w:p>
            <w:pPr>
              <w:spacing w:after="0"/>
              <w:rPr>
                <w:sz w:val="17"/>
                <w:szCs w:val="17"/>
                <w:color w:val="auto"/>
              </w:rPr>
            </w:pPr>
          </w:p>
        </w:tc>
        <w:tc>
          <w:tcPr>
            <w:tcW w:w="1140" w:type="dxa"/>
            <w:vAlign w:val="bottom"/>
            <w:shd w:val="clear" w:color="auto" w:fill="EEEEEE"/>
          </w:tcPr>
          <w:p>
            <w:pPr>
              <w:spacing w:after="0"/>
              <w:rPr>
                <w:sz w:val="17"/>
                <w:szCs w:val="17"/>
                <w:color w:val="auto"/>
              </w:rPr>
            </w:pPr>
          </w:p>
        </w:tc>
        <w:tc>
          <w:tcPr>
            <w:tcW w:w="22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6"/>
                <w:szCs w:val="16"/>
                <w:color w:val="auto"/>
              </w:rPr>
              <w:t>–</w:t>
            </w:r>
          </w:p>
        </w:tc>
        <w:tc>
          <w:tcPr>
            <w:tcW w:w="124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3,024,000</w:t>
            </w:r>
          </w:p>
        </w:tc>
        <w:tc>
          <w:tcPr>
            <w:tcW w:w="100" w:type="dxa"/>
            <w:vAlign w:val="bottom"/>
            <w:shd w:val="clear" w:color="auto" w:fill="EEEEEE"/>
          </w:tcPr>
          <w:p>
            <w:pPr>
              <w:spacing w:after="0"/>
              <w:rPr>
                <w:sz w:val="17"/>
                <w:szCs w:val="17"/>
                <w:color w:val="auto"/>
              </w:rPr>
            </w:pPr>
          </w:p>
        </w:tc>
        <w:tc>
          <w:tcPr>
            <w:tcW w:w="122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rPr>
              <w:t>2/5/2031</w:t>
            </w:r>
          </w:p>
        </w:tc>
        <w:tc>
          <w:tcPr>
            <w:tcW w:w="120" w:type="dxa"/>
            <w:vAlign w:val="bottom"/>
            <w:shd w:val="clear" w:color="auto" w:fill="EEEEEE"/>
          </w:tcPr>
          <w:p>
            <w:pPr>
              <w:spacing w:after="0"/>
              <w:rPr>
                <w:sz w:val="17"/>
                <w:szCs w:val="17"/>
                <w:color w:val="auto"/>
              </w:rPr>
            </w:pPr>
          </w:p>
        </w:tc>
        <w:tc>
          <w:tcPr>
            <w:tcW w:w="110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20" w:type="dxa"/>
            <w:vAlign w:val="bottom"/>
            <w:shd w:val="clear" w:color="auto" w:fill="EEEEEE"/>
          </w:tcPr>
          <w:p>
            <w:pPr>
              <w:spacing w:after="0"/>
              <w:rPr>
                <w:sz w:val="17"/>
                <w:szCs w:val="17"/>
                <w:color w:val="auto"/>
              </w:rPr>
            </w:pP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jc w:val="center"/>
              <w:spacing w:after="0"/>
              <w:rPr>
                <w:sz w:val="20"/>
                <w:szCs w:val="20"/>
                <w:color w:val="auto"/>
              </w:rPr>
            </w:pPr>
            <w:r>
              <w:rPr>
                <w:rFonts w:ascii="Times New Roman" w:cs="Times New Roman" w:eastAsia="Times New Roman" w:hAnsi="Times New Roman"/>
                <w:sz w:val="16"/>
                <w:szCs w:val="16"/>
                <w:color w:val="auto"/>
                <w:w w:val="98"/>
              </w:rPr>
              <w:t>11/13/2019</w:t>
            </w: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w:t>
            </w:r>
          </w:p>
        </w:tc>
        <w:tc>
          <w:tcPr>
            <w:tcW w:w="12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3,600,000</w:t>
            </w:r>
          </w:p>
        </w:tc>
        <w:tc>
          <w:tcPr>
            <w:tcW w:w="10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color w:val="auto"/>
              </w:rPr>
              <w:t>11/13/2029</w:t>
            </w: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r>
      <w:tr>
        <w:trPr>
          <w:trHeight w:val="203"/>
        </w:trPr>
        <w:tc>
          <w:tcPr>
            <w:tcW w:w="194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6"/>
                <w:szCs w:val="16"/>
                <w:color w:val="auto"/>
              </w:rPr>
              <w:t>Sandra Silberman</w:t>
            </w:r>
          </w:p>
        </w:tc>
        <w:tc>
          <w:tcPr>
            <w:tcW w:w="1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w w:val="98"/>
              </w:rPr>
              <w:t>4/7/2024</w:t>
            </w:r>
          </w:p>
        </w:tc>
        <w:tc>
          <w:tcPr>
            <w:tcW w:w="120" w:type="dxa"/>
            <w:vAlign w:val="bottom"/>
            <w:shd w:val="clear" w:color="auto" w:fill="EEEEEE"/>
          </w:tcPr>
          <w:p>
            <w:pPr>
              <w:spacing w:after="0"/>
              <w:rPr>
                <w:sz w:val="17"/>
                <w:szCs w:val="17"/>
                <w:color w:val="auto"/>
              </w:rPr>
            </w:pPr>
          </w:p>
        </w:tc>
        <w:tc>
          <w:tcPr>
            <w:tcW w:w="1140" w:type="dxa"/>
            <w:vAlign w:val="bottom"/>
            <w:shd w:val="clear" w:color="auto" w:fill="EEEEEE"/>
          </w:tcPr>
          <w:p>
            <w:pPr>
              <w:spacing w:after="0"/>
              <w:rPr>
                <w:sz w:val="17"/>
                <w:szCs w:val="17"/>
                <w:color w:val="auto"/>
              </w:rPr>
            </w:pPr>
          </w:p>
        </w:tc>
        <w:tc>
          <w:tcPr>
            <w:tcW w:w="22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6"/>
                <w:szCs w:val="16"/>
                <w:color w:val="auto"/>
              </w:rPr>
              <w:t>–</w:t>
            </w:r>
          </w:p>
        </w:tc>
        <w:tc>
          <w:tcPr>
            <w:tcW w:w="124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7,758</w:t>
            </w:r>
          </w:p>
        </w:tc>
        <w:tc>
          <w:tcPr>
            <w:tcW w:w="100" w:type="dxa"/>
            <w:vAlign w:val="bottom"/>
            <w:shd w:val="clear" w:color="auto" w:fill="EEEEEE"/>
          </w:tcPr>
          <w:p>
            <w:pPr>
              <w:spacing w:after="0"/>
              <w:rPr>
                <w:sz w:val="17"/>
                <w:szCs w:val="17"/>
                <w:color w:val="auto"/>
              </w:rPr>
            </w:pPr>
          </w:p>
        </w:tc>
        <w:tc>
          <w:tcPr>
            <w:tcW w:w="122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rPr>
              <w:t>4/27/2034</w:t>
            </w:r>
          </w:p>
        </w:tc>
        <w:tc>
          <w:tcPr>
            <w:tcW w:w="120" w:type="dxa"/>
            <w:vAlign w:val="bottom"/>
            <w:shd w:val="clear" w:color="auto" w:fill="EEEEEE"/>
          </w:tcPr>
          <w:p>
            <w:pPr>
              <w:spacing w:after="0"/>
              <w:rPr>
                <w:sz w:val="17"/>
                <w:szCs w:val="17"/>
                <w:color w:val="auto"/>
              </w:rPr>
            </w:pPr>
          </w:p>
        </w:tc>
        <w:tc>
          <w:tcPr>
            <w:tcW w:w="1100" w:type="dxa"/>
            <w:vAlign w:val="bottom"/>
            <w:shd w:val="clear" w:color="auto" w:fill="EEEEEE"/>
          </w:tcPr>
          <w:p>
            <w:pPr>
              <w:spacing w:after="0"/>
              <w:rPr>
                <w:sz w:val="17"/>
                <w:szCs w:val="17"/>
                <w:color w:val="auto"/>
              </w:rPr>
            </w:pPr>
          </w:p>
        </w:tc>
        <w:tc>
          <w:tcPr>
            <w:tcW w:w="12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w:t>
            </w:r>
          </w:p>
        </w:tc>
        <w:tc>
          <w:tcPr>
            <w:tcW w:w="120" w:type="dxa"/>
            <w:vAlign w:val="bottom"/>
            <w:shd w:val="clear" w:color="auto" w:fill="EEEEEE"/>
          </w:tcPr>
          <w:p>
            <w:pPr>
              <w:spacing w:after="0"/>
              <w:rPr>
                <w:sz w:val="17"/>
                <w:szCs w:val="17"/>
                <w:color w:val="auto"/>
              </w:rPr>
            </w:pPr>
          </w:p>
        </w:tc>
        <w:tc>
          <w:tcPr>
            <w:tcW w:w="122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72</w:t>
            </w: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jc w:val="center"/>
              <w:spacing w:after="0"/>
              <w:rPr>
                <w:sz w:val="20"/>
                <w:szCs w:val="20"/>
                <w:color w:val="auto"/>
              </w:rPr>
            </w:pPr>
            <w:r>
              <w:rPr>
                <w:rFonts w:ascii="Times New Roman" w:cs="Times New Roman" w:eastAsia="Times New Roman" w:hAnsi="Times New Roman"/>
                <w:sz w:val="16"/>
                <w:szCs w:val="16"/>
                <w:color w:val="auto"/>
                <w:w w:val="98"/>
              </w:rPr>
              <w:t>3/29/2023</w:t>
            </w: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2</w:t>
            </w:r>
          </w:p>
        </w:tc>
        <w:tc>
          <w:tcPr>
            <w:tcW w:w="12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29,880</w:t>
            </w:r>
          </w:p>
        </w:tc>
        <w:tc>
          <w:tcPr>
            <w:tcW w:w="10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color w:val="auto"/>
              </w:rPr>
              <w:t>3/27/2033</w:t>
            </w: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r>
      <w:tr>
        <w:trPr>
          <w:trHeight w:val="203"/>
        </w:trPr>
        <w:tc>
          <w:tcPr>
            <w:tcW w:w="18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w w:val="98"/>
              </w:rPr>
              <w:t>4/28/2022</w:t>
            </w:r>
          </w:p>
        </w:tc>
        <w:tc>
          <w:tcPr>
            <w:tcW w:w="120" w:type="dxa"/>
            <w:vAlign w:val="bottom"/>
            <w:shd w:val="clear" w:color="auto" w:fill="EEEEEE"/>
          </w:tcPr>
          <w:p>
            <w:pPr>
              <w:spacing w:after="0"/>
              <w:rPr>
                <w:sz w:val="17"/>
                <w:szCs w:val="17"/>
                <w:color w:val="auto"/>
              </w:rPr>
            </w:pPr>
          </w:p>
        </w:tc>
        <w:tc>
          <w:tcPr>
            <w:tcW w:w="1140" w:type="dxa"/>
            <w:vAlign w:val="bottom"/>
            <w:shd w:val="clear" w:color="auto" w:fill="EEEEEE"/>
          </w:tcPr>
          <w:p>
            <w:pPr>
              <w:spacing w:after="0"/>
              <w:rPr>
                <w:sz w:val="17"/>
                <w:szCs w:val="17"/>
                <w:color w:val="auto"/>
              </w:rPr>
            </w:pPr>
          </w:p>
        </w:tc>
        <w:tc>
          <w:tcPr>
            <w:tcW w:w="10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40" w:type="dxa"/>
            <w:vAlign w:val="bottom"/>
            <w:shd w:val="clear" w:color="auto" w:fill="EEEEEE"/>
          </w:tcPr>
          <w:p>
            <w:pPr>
              <w:spacing w:after="0"/>
              <w:rPr>
                <w:sz w:val="17"/>
                <w:szCs w:val="17"/>
                <w:color w:val="auto"/>
              </w:rPr>
            </w:pPr>
          </w:p>
        </w:tc>
        <w:tc>
          <w:tcPr>
            <w:tcW w:w="100" w:type="dxa"/>
            <w:vAlign w:val="bottom"/>
            <w:shd w:val="clear" w:color="auto" w:fill="EEEEEE"/>
          </w:tcPr>
          <w:p>
            <w:pPr>
              <w:spacing w:after="0"/>
              <w:rPr>
                <w:sz w:val="17"/>
                <w:szCs w:val="17"/>
                <w:color w:val="auto"/>
              </w:rPr>
            </w:pPr>
          </w:p>
        </w:tc>
        <w:tc>
          <w:tcPr>
            <w:tcW w:w="1240" w:type="dxa"/>
            <w:vAlign w:val="bottom"/>
            <w:shd w:val="clear" w:color="auto" w:fill="EEEEEE"/>
          </w:tcPr>
          <w:p>
            <w:pPr>
              <w:spacing w:after="0"/>
              <w:rPr>
                <w:sz w:val="17"/>
                <w:szCs w:val="17"/>
                <w:color w:val="auto"/>
              </w:rPr>
            </w:pPr>
          </w:p>
        </w:tc>
        <w:tc>
          <w:tcPr>
            <w:tcW w:w="100" w:type="dxa"/>
            <w:vAlign w:val="bottom"/>
            <w:shd w:val="clear" w:color="auto" w:fill="EEEEEE"/>
          </w:tcPr>
          <w:p>
            <w:pPr>
              <w:spacing w:after="0"/>
              <w:rPr>
                <w:sz w:val="17"/>
                <w:szCs w:val="17"/>
                <w:color w:val="auto"/>
              </w:rPr>
            </w:pPr>
          </w:p>
        </w:tc>
        <w:tc>
          <w:tcPr>
            <w:tcW w:w="12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10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20" w:type="dxa"/>
            <w:vAlign w:val="bottom"/>
            <w:shd w:val="clear" w:color="auto" w:fill="EEEEEE"/>
          </w:tcPr>
          <w:p>
            <w:pPr>
              <w:spacing w:after="0"/>
              <w:rPr>
                <w:sz w:val="17"/>
                <w:szCs w:val="17"/>
                <w:color w:val="auto"/>
              </w:rPr>
            </w:pPr>
          </w:p>
        </w:tc>
      </w:tr>
      <w:tr>
        <w:trPr>
          <w:trHeight w:val="203"/>
        </w:trPr>
        <w:tc>
          <w:tcPr>
            <w:tcW w:w="18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jc w:val="center"/>
              <w:spacing w:after="0"/>
              <w:rPr>
                <w:sz w:val="20"/>
                <w:szCs w:val="20"/>
                <w:color w:val="auto"/>
              </w:rPr>
            </w:pPr>
            <w:r>
              <w:rPr>
                <w:rFonts w:ascii="Times New Roman" w:cs="Times New Roman" w:eastAsia="Times New Roman" w:hAnsi="Times New Roman"/>
                <w:sz w:val="16"/>
                <w:szCs w:val="16"/>
                <w:color w:val="auto"/>
                <w:w w:val="98"/>
              </w:rPr>
              <w:t>2/5/2021</w:t>
            </w:r>
          </w:p>
        </w:tc>
        <w:tc>
          <w:tcPr>
            <w:tcW w:w="1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w:t>
            </w:r>
          </w:p>
        </w:tc>
        <w:tc>
          <w:tcPr>
            <w:tcW w:w="12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3,024,000</w:t>
            </w:r>
          </w:p>
        </w:tc>
        <w:tc>
          <w:tcPr>
            <w:tcW w:w="100" w:type="dxa"/>
            <w:vAlign w:val="bottom"/>
          </w:tcPr>
          <w:p>
            <w:pPr>
              <w:spacing w:after="0"/>
              <w:rPr>
                <w:sz w:val="17"/>
                <w:szCs w:val="17"/>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color w:val="auto"/>
              </w:rPr>
              <w:t>2/5/2031</w:t>
            </w: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r>
      <w:tr>
        <w:trPr>
          <w:trHeight w:val="203"/>
        </w:trPr>
        <w:tc>
          <w:tcPr>
            <w:tcW w:w="18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4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w w:val="98"/>
              </w:rPr>
              <w:t>6/28/2019</w:t>
            </w:r>
          </w:p>
        </w:tc>
        <w:tc>
          <w:tcPr>
            <w:tcW w:w="120" w:type="dxa"/>
            <w:vAlign w:val="bottom"/>
            <w:shd w:val="clear" w:color="auto" w:fill="EEEEEE"/>
          </w:tcPr>
          <w:p>
            <w:pPr>
              <w:spacing w:after="0"/>
              <w:rPr>
                <w:sz w:val="17"/>
                <w:szCs w:val="17"/>
                <w:color w:val="auto"/>
              </w:rPr>
            </w:pPr>
          </w:p>
        </w:tc>
        <w:tc>
          <w:tcPr>
            <w:tcW w:w="1140" w:type="dxa"/>
            <w:vAlign w:val="bottom"/>
            <w:shd w:val="clear" w:color="auto" w:fill="EEEEEE"/>
          </w:tcPr>
          <w:p>
            <w:pPr>
              <w:spacing w:after="0"/>
              <w:rPr>
                <w:sz w:val="17"/>
                <w:szCs w:val="17"/>
                <w:color w:val="auto"/>
              </w:rPr>
            </w:pPr>
          </w:p>
        </w:tc>
        <w:tc>
          <w:tcPr>
            <w:tcW w:w="22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6"/>
                <w:szCs w:val="16"/>
                <w:color w:val="auto"/>
              </w:rPr>
              <w:t>–</w:t>
            </w:r>
          </w:p>
        </w:tc>
        <w:tc>
          <w:tcPr>
            <w:tcW w:w="124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1,800,000</w:t>
            </w:r>
          </w:p>
        </w:tc>
        <w:tc>
          <w:tcPr>
            <w:tcW w:w="100" w:type="dxa"/>
            <w:vAlign w:val="bottom"/>
            <w:shd w:val="clear" w:color="auto" w:fill="EEEEEE"/>
          </w:tcPr>
          <w:p>
            <w:pPr>
              <w:spacing w:after="0"/>
              <w:rPr>
                <w:sz w:val="17"/>
                <w:szCs w:val="17"/>
                <w:color w:val="auto"/>
              </w:rPr>
            </w:pPr>
          </w:p>
        </w:tc>
        <w:tc>
          <w:tcPr>
            <w:tcW w:w="1220" w:type="dxa"/>
            <w:vAlign w:val="bottom"/>
            <w:shd w:val="clear" w:color="auto" w:fill="EEEEEE"/>
          </w:tcPr>
          <w:p>
            <w:pPr>
              <w:jc w:val="center"/>
              <w:spacing w:after="0"/>
              <w:rPr>
                <w:sz w:val="20"/>
                <w:szCs w:val="20"/>
                <w:color w:val="auto"/>
              </w:rPr>
            </w:pPr>
            <w:r>
              <w:rPr>
                <w:rFonts w:ascii="Times New Roman" w:cs="Times New Roman" w:eastAsia="Times New Roman" w:hAnsi="Times New Roman"/>
                <w:sz w:val="16"/>
                <w:szCs w:val="16"/>
                <w:color w:val="auto"/>
              </w:rPr>
              <w:t>6/28/2029</w:t>
            </w:r>
          </w:p>
        </w:tc>
        <w:tc>
          <w:tcPr>
            <w:tcW w:w="120" w:type="dxa"/>
            <w:vAlign w:val="bottom"/>
            <w:shd w:val="clear" w:color="auto" w:fill="EEEEEE"/>
          </w:tcPr>
          <w:p>
            <w:pPr>
              <w:spacing w:after="0"/>
              <w:rPr>
                <w:sz w:val="17"/>
                <w:szCs w:val="17"/>
                <w:color w:val="auto"/>
              </w:rPr>
            </w:pPr>
          </w:p>
        </w:tc>
        <w:tc>
          <w:tcPr>
            <w:tcW w:w="110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0" w:type="dxa"/>
            <w:vAlign w:val="bottom"/>
            <w:shd w:val="clear" w:color="auto" w:fill="EEEEEE"/>
          </w:tcPr>
          <w:p>
            <w:pPr>
              <w:spacing w:after="0"/>
              <w:rPr>
                <w:sz w:val="17"/>
                <w:szCs w:val="17"/>
                <w:color w:val="auto"/>
              </w:rPr>
            </w:pPr>
          </w:p>
        </w:tc>
        <w:tc>
          <w:tcPr>
            <w:tcW w:w="1220" w:type="dxa"/>
            <w:vAlign w:val="bottom"/>
            <w:shd w:val="clear" w:color="auto" w:fill="EEEEEE"/>
          </w:tcPr>
          <w:p>
            <w:pPr>
              <w:spacing w:after="0"/>
              <w:rPr>
                <w:sz w:val="17"/>
                <w:szCs w:val="17"/>
                <w:color w:val="auto"/>
              </w:rPr>
            </w:pPr>
          </w:p>
        </w:tc>
      </w:tr>
      <w:tr>
        <w:trPr>
          <w:trHeight w:val="210"/>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tcPr>
          <w:p>
            <w:pPr>
              <w:jc w:val="center"/>
              <w:spacing w:after="0"/>
              <w:rPr>
                <w:sz w:val="20"/>
                <w:szCs w:val="20"/>
                <w:color w:val="auto"/>
              </w:rPr>
            </w:pPr>
            <w:r>
              <w:rPr>
                <w:rFonts w:ascii="Times New Roman" w:cs="Times New Roman" w:eastAsia="Times New Roman" w:hAnsi="Times New Roman"/>
                <w:sz w:val="16"/>
                <w:szCs w:val="16"/>
                <w:color w:val="auto"/>
                <w:w w:val="98"/>
              </w:rPr>
              <w:t>12/22/2017</w:t>
            </w:r>
          </w:p>
        </w:tc>
        <w:tc>
          <w:tcPr>
            <w:tcW w:w="1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gridSpan w:val="2"/>
          </w:tcPr>
          <w:p>
            <w:pPr>
              <w:jc w:val="right"/>
              <w:ind w:right="120"/>
              <w:spacing w:after="0"/>
              <w:rPr>
                <w:sz w:val="20"/>
                <w:szCs w:val="20"/>
                <w:color w:val="auto"/>
              </w:rPr>
            </w:pPr>
            <w:r>
              <w:rPr>
                <w:rFonts w:ascii="Times New Roman" w:cs="Times New Roman" w:eastAsia="Times New Roman" w:hAnsi="Times New Roman"/>
                <w:sz w:val="16"/>
                <w:szCs w:val="16"/>
                <w:color w:val="auto"/>
                <w:w w:val="99"/>
              </w:rPr>
              <w:t>1</w:t>
            </w:r>
          </w:p>
        </w:tc>
        <w:tc>
          <w:tcPr>
            <w:tcW w:w="1340" w:type="dxa"/>
            <w:vAlign w:val="bottom"/>
            <w:gridSpan w:val="2"/>
          </w:tcPr>
          <w:p>
            <w:pPr>
              <w:jc w:val="right"/>
              <w:ind w:right="100"/>
              <w:spacing w:after="0"/>
              <w:rPr>
                <w:sz w:val="20"/>
                <w:szCs w:val="20"/>
                <w:color w:val="auto"/>
              </w:rPr>
            </w:pPr>
            <w:r>
              <w:rPr>
                <w:rFonts w:ascii="Times New Roman" w:cs="Times New Roman" w:eastAsia="Times New Roman" w:hAnsi="Times New Roman"/>
                <w:sz w:val="16"/>
                <w:szCs w:val="16"/>
                <w:color w:val="auto"/>
              </w:rPr>
              <w:t>–</w:t>
            </w:r>
          </w:p>
        </w:tc>
        <w:tc>
          <w:tcPr>
            <w:tcW w:w="12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40,500</w:t>
            </w:r>
          </w:p>
        </w:tc>
        <w:tc>
          <w:tcPr>
            <w:tcW w:w="100" w:type="dxa"/>
            <w:vAlign w:val="bottom"/>
          </w:tcPr>
          <w:p>
            <w:pPr>
              <w:spacing w:after="0"/>
              <w:rPr>
                <w:sz w:val="18"/>
                <w:szCs w:val="18"/>
                <w:color w:val="auto"/>
              </w:rPr>
            </w:pPr>
          </w:p>
        </w:tc>
        <w:tc>
          <w:tcPr>
            <w:tcW w:w="1220" w:type="dxa"/>
            <w:vAlign w:val="bottom"/>
          </w:tcPr>
          <w:p>
            <w:pPr>
              <w:jc w:val="center"/>
              <w:spacing w:after="0"/>
              <w:rPr>
                <w:sz w:val="20"/>
                <w:szCs w:val="20"/>
                <w:color w:val="auto"/>
              </w:rPr>
            </w:pPr>
            <w:r>
              <w:rPr>
                <w:rFonts w:ascii="Times New Roman" w:cs="Times New Roman" w:eastAsia="Times New Roman" w:hAnsi="Times New Roman"/>
                <w:sz w:val="16"/>
                <w:szCs w:val="16"/>
                <w:color w:val="auto"/>
              </w:rPr>
              <w:t>12/22/2027</w:t>
            </w:r>
          </w:p>
        </w:tc>
        <w:tc>
          <w:tcPr>
            <w:tcW w:w="1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r>
    </w:tbl>
    <w:p>
      <w:pPr>
        <w:spacing w:after="0" w:line="190" w:lineRule="exact"/>
        <w:rPr>
          <w:sz w:val="20"/>
          <w:szCs w:val="20"/>
          <w:color w:val="auto"/>
        </w:rPr>
      </w:pPr>
    </w:p>
    <w:p>
      <w:pPr>
        <w:ind w:right="20" w:firstLine="8"/>
        <w:spacing w:after="0" w:line="282" w:lineRule="auto"/>
        <w:tabs>
          <w:tab w:leader="none" w:pos="269" w:val="left"/>
        </w:tabs>
        <w:numPr>
          <w:ilvl w:val="0"/>
          <w:numId w:val="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shares underlying the options vest in equal annual installments over a four-year period (i.e., one-quarter of each grant vests on the first, second, third and fourth anniversary of the grant date).</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0" w:name="page21"/>
    <w:bookmarkEnd w:id="20"/>
    <w:p>
      <w:pPr>
        <w:ind w:left="260" w:hanging="252"/>
        <w:spacing w:after="0"/>
        <w:tabs>
          <w:tab w:leader="none" w:pos="260" w:val="left"/>
        </w:tabs>
        <w:numPr>
          <w:ilvl w:val="0"/>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Consists of restricted stock unit awards that vest as follows:</w:t>
      </w:r>
    </w:p>
    <w:p>
      <w:pPr>
        <w:spacing w:after="0" w:line="225" w:lineRule="exact"/>
        <w:rPr>
          <w:rFonts w:ascii="Times New Roman" w:cs="Times New Roman" w:eastAsia="Times New Roman" w:hAnsi="Times New Roman"/>
          <w:sz w:val="18"/>
          <w:szCs w:val="18"/>
          <w:color w:val="auto"/>
        </w:rPr>
      </w:pPr>
    </w:p>
    <w:p>
      <w:pPr>
        <w:ind w:left="980" w:hanging="324"/>
        <w:spacing w:after="0" w:line="282" w:lineRule="auto"/>
        <w:tabs>
          <w:tab w:leader="none" w:pos="983" w:val="left"/>
        </w:tabs>
        <w:numPr>
          <w:ilvl w:val="1"/>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25% of the RSU grant will vest in four (4) equal annual installments over 4 years, provided officer is serving in such position on each vesting date;</w:t>
      </w:r>
    </w:p>
    <w:p>
      <w:pPr>
        <w:spacing w:after="0" w:line="161" w:lineRule="exact"/>
        <w:rPr>
          <w:rFonts w:ascii="Times New Roman" w:cs="Times New Roman" w:eastAsia="Times New Roman" w:hAnsi="Times New Roman"/>
          <w:sz w:val="18"/>
          <w:szCs w:val="18"/>
          <w:color w:val="auto"/>
        </w:rPr>
      </w:pPr>
    </w:p>
    <w:p>
      <w:pPr>
        <w:ind w:left="980" w:right="20" w:hanging="324"/>
        <w:spacing w:after="0" w:line="282" w:lineRule="auto"/>
        <w:tabs>
          <w:tab w:leader="none" w:pos="983" w:val="left"/>
        </w:tabs>
        <w:numPr>
          <w:ilvl w:val="1"/>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25% of the RSU grant will vest if within 24 months from grant the average of the closing price of the Company’s common stock over a ten trading day period exceeds $1,800,000.00 (subject to pro rata adjustment for stock splits or similar events);</w:t>
      </w:r>
    </w:p>
    <w:p>
      <w:pPr>
        <w:spacing w:after="0" w:line="161" w:lineRule="exact"/>
        <w:rPr>
          <w:rFonts w:ascii="Times New Roman" w:cs="Times New Roman" w:eastAsia="Times New Roman" w:hAnsi="Times New Roman"/>
          <w:sz w:val="18"/>
          <w:szCs w:val="18"/>
          <w:color w:val="auto"/>
        </w:rPr>
      </w:pPr>
    </w:p>
    <w:p>
      <w:pPr>
        <w:ind w:left="980" w:right="20" w:hanging="324"/>
        <w:spacing w:after="0" w:line="282" w:lineRule="auto"/>
        <w:tabs>
          <w:tab w:leader="none" w:pos="983" w:val="left"/>
        </w:tabs>
        <w:numPr>
          <w:ilvl w:val="1"/>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25% of the RSU grant will vest if within 36 months from grant the average of the closing price of the Company’s common stock over a ten trading day period exceeds $3,600,000.00 (subject to pro rata adjustment for stock splits or similar events);</w:t>
      </w:r>
    </w:p>
    <w:p>
      <w:pPr>
        <w:spacing w:after="0" w:line="161" w:lineRule="exact"/>
        <w:rPr>
          <w:rFonts w:ascii="Times New Roman" w:cs="Times New Roman" w:eastAsia="Times New Roman" w:hAnsi="Times New Roman"/>
          <w:sz w:val="18"/>
          <w:szCs w:val="18"/>
          <w:color w:val="auto"/>
        </w:rPr>
      </w:pPr>
    </w:p>
    <w:p>
      <w:pPr>
        <w:ind w:left="980" w:hanging="324"/>
        <w:spacing w:after="0" w:line="282" w:lineRule="auto"/>
        <w:tabs>
          <w:tab w:leader="none" w:pos="983" w:val="left"/>
        </w:tabs>
        <w:numPr>
          <w:ilvl w:val="1"/>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25% of the RSU grant will vest if within 24 months from issuance the Company achieves “Positive Interim, Clinical Data” as defined by the Board of Directors.</w:t>
      </w:r>
    </w:p>
    <w:p>
      <w:pPr>
        <w:spacing w:after="0" w:line="161" w:lineRule="exact"/>
        <w:rPr>
          <w:rFonts w:ascii="Times New Roman" w:cs="Times New Roman" w:eastAsia="Times New Roman" w:hAnsi="Times New Roman"/>
          <w:sz w:val="18"/>
          <w:szCs w:val="18"/>
          <w:color w:val="auto"/>
        </w:rPr>
      </w:pPr>
    </w:p>
    <w:p>
      <w:pPr>
        <w:ind w:left="260" w:hanging="252"/>
        <w:spacing w:after="0"/>
        <w:tabs>
          <w:tab w:leader="none" w:pos="260" w:val="left"/>
        </w:tabs>
        <w:numPr>
          <w:ilvl w:val="0"/>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Based on the closing price of our common stock on December 31, 2024 of $72.00.</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Pay Versus Performance</w:t>
      </w:r>
    </w:p>
    <w:p>
      <w:pPr>
        <w:spacing w:after="0" w:line="229"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This section provides disclosure about the relationship between executive compensation actually paid to our principal executive officer (“PEO”) and non-PEO Named Executive Officers (“NEOs”) and certain financial performance measures of the Company for the fiscal years listed below. This disclosure has been prepared in accordance with Item 402(v) of Regulation S-K under the Exchange Act (the “Pay Versus Performance Rules”) and does not necessarily reflect how the Compensation Committee evaluates compensation decisions.</w:t>
      </w:r>
    </w:p>
    <w:p>
      <w:pPr>
        <w:sectPr>
          <w:pgSz w:w="11900" w:h="16838" w:orient="portrait"/>
          <w:cols w:equalWidth="0" w:num="1">
            <w:col w:w="11240"/>
          </w:cols>
          <w:pgMar w:left="320" w:top="796" w:right="339" w:bottom="1440" w:gutter="0" w:footer="0" w:header="0"/>
        </w:sectPr>
      </w:pP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20" w:type="dxa"/>
            <w:vAlign w:val="bottom"/>
          </w:tcPr>
          <w:p>
            <w:pPr>
              <w:spacing w:after="0"/>
              <w:rPr>
                <w:sz w:val="18"/>
                <w:szCs w:val="18"/>
                <w:color w:val="auto"/>
              </w:rPr>
            </w:pPr>
          </w:p>
        </w:tc>
        <w:tc>
          <w:tcPr>
            <w:tcW w:w="19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4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8"/>
              </w:rPr>
              <w:t>Average summary</w:t>
            </w:r>
          </w:p>
        </w:tc>
        <w:tc>
          <w:tcPr>
            <w:tcW w:w="180" w:type="dxa"/>
            <w:vAlign w:val="bottom"/>
          </w:tcPr>
          <w:p>
            <w:pPr>
              <w:spacing w:after="0"/>
              <w:rPr>
                <w:sz w:val="18"/>
                <w:szCs w:val="18"/>
                <w:color w:val="auto"/>
              </w:rPr>
            </w:pPr>
          </w:p>
        </w:tc>
        <w:tc>
          <w:tcPr>
            <w:tcW w:w="1920" w:type="dxa"/>
            <w:vAlign w:val="bottom"/>
            <w:gridSpan w:val="3"/>
          </w:tcPr>
          <w:p>
            <w:pPr>
              <w:jc w:val="center"/>
              <w:ind w:right="20"/>
              <w:spacing w:after="0"/>
              <w:rPr>
                <w:sz w:val="20"/>
                <w:szCs w:val="20"/>
                <w:color w:val="auto"/>
              </w:rPr>
            </w:pPr>
            <w:r>
              <w:rPr>
                <w:rFonts w:ascii="Times New Roman" w:cs="Times New Roman" w:eastAsia="Times New Roman" w:hAnsi="Times New Roman"/>
                <w:sz w:val="18"/>
                <w:szCs w:val="18"/>
                <w:b w:val="1"/>
                <w:bCs w:val="1"/>
                <w:color w:val="auto"/>
                <w:w w:val="99"/>
              </w:rPr>
              <w:t>Average compensation</w:t>
            </w:r>
          </w:p>
        </w:tc>
      </w:tr>
      <w:tr>
        <w:trPr>
          <w:trHeight w:val="216"/>
        </w:trPr>
        <w:tc>
          <w:tcPr>
            <w:tcW w:w="120" w:type="dxa"/>
            <w:vAlign w:val="bottom"/>
          </w:tcPr>
          <w:p>
            <w:pPr>
              <w:spacing w:after="0"/>
              <w:rPr>
                <w:sz w:val="18"/>
                <w:szCs w:val="18"/>
                <w:color w:val="auto"/>
              </w:rPr>
            </w:pPr>
          </w:p>
        </w:tc>
        <w:tc>
          <w:tcPr>
            <w:tcW w:w="19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20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compensation table total</w:t>
            </w:r>
          </w:p>
        </w:tc>
        <w:tc>
          <w:tcPr>
            <w:tcW w:w="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2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actually paid to non-</w:t>
            </w:r>
          </w:p>
        </w:tc>
      </w:tr>
      <w:tr>
        <w:trPr>
          <w:trHeight w:val="220"/>
        </w:trPr>
        <w:tc>
          <w:tcPr>
            <w:tcW w:w="120" w:type="dxa"/>
            <w:vAlign w:val="bottom"/>
          </w:tcPr>
          <w:p>
            <w:pPr>
              <w:spacing w:after="0"/>
              <w:rPr>
                <w:sz w:val="19"/>
                <w:szCs w:val="19"/>
                <w:color w:val="auto"/>
              </w:rPr>
            </w:pPr>
          </w:p>
        </w:tc>
        <w:tc>
          <w:tcPr>
            <w:tcW w:w="2100" w:type="dxa"/>
            <w:vAlign w:val="bottom"/>
            <w:gridSpan w:val="2"/>
          </w:tcPr>
          <w:p>
            <w:pPr>
              <w:jc w:val="right"/>
              <w:ind w:right="320"/>
              <w:spacing w:after="0"/>
              <w:rPr>
                <w:sz w:val="20"/>
                <w:szCs w:val="20"/>
                <w:color w:val="auto"/>
              </w:rPr>
            </w:pPr>
            <w:r>
              <w:rPr>
                <w:rFonts w:ascii="Times New Roman" w:cs="Times New Roman" w:eastAsia="Times New Roman" w:hAnsi="Times New Roman"/>
                <w:sz w:val="18"/>
                <w:szCs w:val="18"/>
                <w:b w:val="1"/>
                <w:bCs w:val="1"/>
                <w:color w:val="auto"/>
                <w:w w:val="99"/>
              </w:rPr>
              <w:t>Compensation actually</w:t>
            </w:r>
          </w:p>
        </w:tc>
        <w:tc>
          <w:tcPr>
            <w:tcW w:w="18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204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for non-PEO named</w:t>
            </w:r>
          </w:p>
        </w:tc>
        <w:tc>
          <w:tcPr>
            <w:tcW w:w="1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20" w:type="dxa"/>
            <w:vAlign w:val="bottom"/>
            <w:gridSpan w:val="2"/>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9"/>
              </w:rPr>
              <w:t>PEO named executive</w:t>
            </w:r>
          </w:p>
        </w:tc>
      </w:tr>
      <w:tr>
        <w:trPr>
          <w:trHeight w:val="275"/>
        </w:trPr>
        <w:tc>
          <w:tcPr>
            <w:tcW w:w="120" w:type="dxa"/>
            <w:vAlign w:val="bottom"/>
          </w:tcPr>
          <w:p>
            <w:pPr>
              <w:spacing w:after="0"/>
              <w:rPr>
                <w:sz w:val="23"/>
                <w:szCs w:val="23"/>
                <w:color w:val="auto"/>
              </w:rPr>
            </w:pPr>
          </w:p>
        </w:tc>
        <w:tc>
          <w:tcPr>
            <w:tcW w:w="2100" w:type="dxa"/>
            <w:vAlign w:val="bottom"/>
            <w:gridSpan w:val="2"/>
          </w:tcPr>
          <w:p>
            <w:pPr>
              <w:jc w:val="right"/>
              <w:ind w:right="500"/>
              <w:spacing w:after="0" w:line="276" w:lineRule="exact"/>
              <w:rPr>
                <w:sz w:val="20"/>
                <w:szCs w:val="20"/>
                <w:color w:val="auto"/>
              </w:rPr>
            </w:pPr>
            <w:r>
              <w:rPr>
                <w:rFonts w:ascii="Times New Roman" w:cs="Times New Roman" w:eastAsia="Times New Roman" w:hAnsi="Times New Roman"/>
                <w:sz w:val="18"/>
                <w:szCs w:val="18"/>
                <w:b w:val="1"/>
                <w:bCs w:val="1"/>
                <w:color w:val="auto"/>
              </w:rPr>
              <w:t xml:space="preserve">paid to PEO </w:t>
            </w:r>
            <w:r>
              <w:rPr>
                <w:rFonts w:ascii="Times New Roman" w:cs="Times New Roman" w:eastAsia="Times New Roman" w:hAnsi="Times New Roman"/>
                <w:sz w:val="29"/>
                <w:szCs w:val="29"/>
                <w:b w:val="1"/>
                <w:bCs w:val="1"/>
                <w:color w:val="auto"/>
                <w:vertAlign w:val="superscript"/>
              </w:rPr>
              <w:t>(3) (4)</w:t>
            </w:r>
          </w:p>
        </w:tc>
        <w:tc>
          <w:tcPr>
            <w:tcW w:w="180" w:type="dxa"/>
            <w:vAlign w:val="bottom"/>
          </w:tcPr>
          <w:p>
            <w:pPr>
              <w:spacing w:after="0"/>
              <w:rPr>
                <w:sz w:val="23"/>
                <w:szCs w:val="23"/>
                <w:color w:val="auto"/>
              </w:rPr>
            </w:pPr>
          </w:p>
        </w:tc>
        <w:tc>
          <w:tcPr>
            <w:tcW w:w="160" w:type="dxa"/>
            <w:vAlign w:val="bottom"/>
          </w:tcPr>
          <w:p>
            <w:pPr>
              <w:spacing w:after="0"/>
              <w:rPr>
                <w:sz w:val="23"/>
                <w:szCs w:val="23"/>
                <w:color w:val="auto"/>
              </w:rPr>
            </w:pPr>
          </w:p>
        </w:tc>
        <w:tc>
          <w:tcPr>
            <w:tcW w:w="2040" w:type="dxa"/>
            <w:vAlign w:val="bottom"/>
            <w:gridSpan w:val="2"/>
          </w:tcPr>
          <w:p>
            <w:pPr>
              <w:jc w:val="center"/>
              <w:ind w:right="340"/>
              <w:spacing w:after="0" w:line="276" w:lineRule="exact"/>
              <w:rPr>
                <w:sz w:val="20"/>
                <w:szCs w:val="20"/>
                <w:color w:val="auto"/>
              </w:rPr>
            </w:pPr>
            <w:r>
              <w:rPr>
                <w:rFonts w:ascii="Times New Roman" w:cs="Times New Roman" w:eastAsia="Times New Roman" w:hAnsi="Times New Roman"/>
                <w:sz w:val="18"/>
                <w:szCs w:val="18"/>
                <w:b w:val="1"/>
                <w:bCs w:val="1"/>
                <w:color w:val="auto"/>
                <w:w w:val="96"/>
              </w:rPr>
              <w:t xml:space="preserve">executive officers </w:t>
            </w:r>
            <w:r>
              <w:rPr>
                <w:rFonts w:ascii="Times New Roman" w:cs="Times New Roman" w:eastAsia="Times New Roman" w:hAnsi="Times New Roman"/>
                <w:sz w:val="29"/>
                <w:szCs w:val="29"/>
                <w:b w:val="1"/>
                <w:bCs w:val="1"/>
                <w:color w:val="auto"/>
                <w:w w:val="96"/>
                <w:vertAlign w:val="superscript"/>
              </w:rPr>
              <w:t>(5)</w:t>
            </w:r>
          </w:p>
        </w:tc>
        <w:tc>
          <w:tcPr>
            <w:tcW w:w="18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820" w:type="dxa"/>
            <w:vAlign w:val="bottom"/>
            <w:gridSpan w:val="2"/>
          </w:tcPr>
          <w:p>
            <w:pPr>
              <w:jc w:val="center"/>
              <w:ind w:right="120"/>
              <w:spacing w:after="0" w:line="276" w:lineRule="exact"/>
              <w:rPr>
                <w:sz w:val="20"/>
                <w:szCs w:val="20"/>
                <w:color w:val="auto"/>
              </w:rPr>
            </w:pPr>
            <w:r>
              <w:rPr>
                <w:rFonts w:ascii="Times New Roman" w:cs="Times New Roman" w:eastAsia="Times New Roman" w:hAnsi="Times New Roman"/>
                <w:sz w:val="18"/>
                <w:szCs w:val="18"/>
                <w:b w:val="1"/>
                <w:bCs w:val="1"/>
                <w:color w:val="auto"/>
                <w:w w:val="92"/>
              </w:rPr>
              <w:t xml:space="preserve">officers </w:t>
            </w:r>
            <w:r>
              <w:rPr>
                <w:rFonts w:ascii="Times New Roman" w:cs="Times New Roman" w:eastAsia="Times New Roman" w:hAnsi="Times New Roman"/>
                <w:sz w:val="29"/>
                <w:szCs w:val="29"/>
                <w:b w:val="1"/>
                <w:bCs w:val="1"/>
                <w:color w:val="auto"/>
                <w:w w:val="92"/>
                <w:vertAlign w:val="superscript"/>
              </w:rPr>
              <w:t>(6)</w:t>
            </w:r>
          </w:p>
        </w:tc>
      </w:tr>
      <w:tr>
        <w:trPr>
          <w:trHeight w:val="191"/>
        </w:trPr>
        <w:tc>
          <w:tcPr>
            <w:tcW w:w="120" w:type="dxa"/>
            <w:vAlign w:val="bottom"/>
            <w:tcBorders>
              <w:top w:val="single" w:sz="8" w:color="auto"/>
            </w:tcBorders>
          </w:tcPr>
          <w:p>
            <w:pPr>
              <w:jc w:val="right"/>
              <w:spacing w:after="0" w:line="191" w:lineRule="exact"/>
              <w:rPr>
                <w:sz w:val="20"/>
                <w:szCs w:val="20"/>
                <w:color w:val="auto"/>
              </w:rPr>
            </w:pPr>
            <w:r>
              <w:rPr>
                <w:rFonts w:ascii="Times New Roman" w:cs="Times New Roman" w:eastAsia="Times New Roman" w:hAnsi="Times New Roman"/>
                <w:sz w:val="18"/>
                <w:szCs w:val="18"/>
                <w:color w:val="auto"/>
                <w:w w:val="88"/>
              </w:rPr>
              <w:t>$</w:t>
            </w:r>
          </w:p>
        </w:tc>
        <w:tc>
          <w:tcPr>
            <w:tcW w:w="1920" w:type="dxa"/>
            <w:vAlign w:val="bottom"/>
            <w:tcBorders>
              <w:top w:val="single" w:sz="8" w:color="auto"/>
            </w:tcBorders>
          </w:tcPr>
          <w:p>
            <w:pPr>
              <w:jc w:val="right"/>
              <w:spacing w:after="0" w:line="191" w:lineRule="exact"/>
              <w:rPr>
                <w:sz w:val="20"/>
                <w:szCs w:val="20"/>
                <w:color w:val="auto"/>
              </w:rPr>
            </w:pPr>
            <w:r>
              <w:rPr>
                <w:rFonts w:ascii="Times New Roman" w:cs="Times New Roman" w:eastAsia="Times New Roman" w:hAnsi="Times New Roman"/>
                <w:sz w:val="18"/>
                <w:szCs w:val="18"/>
                <w:color w:val="auto"/>
              </w:rPr>
              <w:t>677,722</w:t>
            </w:r>
          </w:p>
        </w:tc>
        <w:tc>
          <w:tcPr>
            <w:tcW w:w="1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60" w:type="dxa"/>
            <w:vAlign w:val="bottom"/>
            <w:tcBorders>
              <w:top w:val="single" w:sz="8" w:color="auto"/>
            </w:tcBorders>
          </w:tcPr>
          <w:p>
            <w:pPr>
              <w:jc w:val="right"/>
              <w:spacing w:after="0" w:line="191" w:lineRule="exact"/>
              <w:rPr>
                <w:sz w:val="20"/>
                <w:szCs w:val="20"/>
                <w:color w:val="auto"/>
              </w:rPr>
            </w:pPr>
            <w:r>
              <w:rPr>
                <w:rFonts w:ascii="Times New Roman" w:cs="Times New Roman" w:eastAsia="Times New Roman" w:hAnsi="Times New Roman"/>
                <w:sz w:val="17"/>
                <w:szCs w:val="17"/>
                <w:color w:val="auto"/>
                <w:w w:val="70"/>
              </w:rPr>
              <w:t>$</w:t>
            </w:r>
          </w:p>
        </w:tc>
        <w:tc>
          <w:tcPr>
            <w:tcW w:w="1880" w:type="dxa"/>
            <w:vAlign w:val="bottom"/>
            <w:tcBorders>
              <w:top w:val="single" w:sz="8" w:color="auto"/>
            </w:tcBorders>
          </w:tcPr>
          <w:p>
            <w:pPr>
              <w:jc w:val="right"/>
              <w:spacing w:after="0" w:line="191" w:lineRule="exact"/>
              <w:rPr>
                <w:sz w:val="20"/>
                <w:szCs w:val="20"/>
                <w:color w:val="auto"/>
              </w:rPr>
            </w:pPr>
            <w:r>
              <w:rPr>
                <w:rFonts w:ascii="Times New Roman" w:cs="Times New Roman" w:eastAsia="Times New Roman" w:hAnsi="Times New Roman"/>
                <w:sz w:val="18"/>
                <w:szCs w:val="18"/>
                <w:color w:val="auto"/>
              </w:rPr>
              <w:t>982,691</w:t>
            </w:r>
          </w:p>
        </w:tc>
        <w:tc>
          <w:tcPr>
            <w:tcW w:w="1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0" w:type="dxa"/>
            <w:vAlign w:val="bottom"/>
            <w:tcBorders>
              <w:top w:val="single" w:sz="8" w:color="auto"/>
            </w:tcBorders>
          </w:tcPr>
          <w:p>
            <w:pPr>
              <w:jc w:val="right"/>
              <w:spacing w:after="0" w:line="191" w:lineRule="exact"/>
              <w:rPr>
                <w:sz w:val="20"/>
                <w:szCs w:val="20"/>
                <w:color w:val="auto"/>
              </w:rPr>
            </w:pPr>
            <w:r>
              <w:rPr>
                <w:rFonts w:ascii="Times New Roman" w:cs="Times New Roman" w:eastAsia="Times New Roman" w:hAnsi="Times New Roman"/>
                <w:sz w:val="17"/>
                <w:szCs w:val="17"/>
                <w:color w:val="auto"/>
                <w:w w:val="70"/>
              </w:rPr>
              <w:t>$</w:t>
            </w:r>
          </w:p>
        </w:tc>
        <w:tc>
          <w:tcPr>
            <w:tcW w:w="1800" w:type="dxa"/>
            <w:vAlign w:val="bottom"/>
            <w:tcBorders>
              <w:top w:val="single" w:sz="8" w:color="auto"/>
            </w:tcBorders>
          </w:tcPr>
          <w:p>
            <w:pPr>
              <w:jc w:val="right"/>
              <w:spacing w:after="0" w:line="191" w:lineRule="exact"/>
              <w:rPr>
                <w:sz w:val="20"/>
                <w:szCs w:val="20"/>
                <w:color w:val="auto"/>
              </w:rPr>
            </w:pPr>
            <w:r>
              <w:rPr>
                <w:rFonts w:ascii="Times New Roman" w:cs="Times New Roman" w:eastAsia="Times New Roman" w:hAnsi="Times New Roman"/>
                <w:sz w:val="18"/>
                <w:szCs w:val="18"/>
                <w:color w:val="auto"/>
              </w:rPr>
              <w:t>454,522</w:t>
            </w:r>
          </w:p>
        </w:tc>
        <w:tc>
          <w:tcPr>
            <w:tcW w:w="20" w:type="dxa"/>
            <w:vAlign w:val="bottom"/>
          </w:tcPr>
          <w:p>
            <w:pPr>
              <w:spacing w:after="0"/>
              <w:rPr>
                <w:sz w:val="16"/>
                <w:szCs w:val="16"/>
                <w:color w:val="auto"/>
              </w:rPr>
            </w:pPr>
          </w:p>
        </w:tc>
      </w:tr>
      <w:tr>
        <w:trPr>
          <w:trHeight w:val="216"/>
        </w:trPr>
        <w:tc>
          <w:tcPr>
            <w:tcW w:w="12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21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846,871</w:t>
            </w:r>
          </w:p>
        </w:tc>
        <w:tc>
          <w:tcPr>
            <w:tcW w:w="3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04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671,667</w:t>
            </w:r>
          </w:p>
        </w:tc>
        <w:tc>
          <w:tcPr>
            <w:tcW w:w="2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82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1,196,301</w:t>
            </w:r>
          </w:p>
        </w:tc>
      </w:tr>
      <w:tr>
        <w:trPr>
          <w:trHeight w:val="234"/>
        </w:trPr>
        <w:tc>
          <w:tcPr>
            <w:tcW w:w="12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21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1,578,131</w:t>
            </w:r>
          </w:p>
        </w:tc>
        <w:tc>
          <w:tcPr>
            <w:tcW w:w="3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04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762,530</w:t>
            </w:r>
          </w:p>
        </w:tc>
        <w:tc>
          <w:tcPr>
            <w:tcW w:w="2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820" w:type="dxa"/>
            <w:vAlign w:val="bottom"/>
            <w:gridSpan w:val="2"/>
          </w:tcPr>
          <w:p>
            <w:pPr>
              <w:jc w:val="right"/>
              <w:ind w:right="20"/>
              <w:spacing w:after="0"/>
              <w:rPr>
                <w:sz w:val="20"/>
                <w:szCs w:val="20"/>
                <w:color w:val="auto"/>
              </w:rPr>
            </w:pPr>
            <w:r>
              <w:rPr>
                <w:rFonts w:ascii="Times New Roman" w:cs="Times New Roman" w:eastAsia="Times New Roman" w:hAnsi="Times New Roman"/>
                <w:sz w:val="18"/>
                <w:szCs w:val="18"/>
                <w:color w:val="auto"/>
              </w:rPr>
              <w:t>1,881,416</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-419735</wp:posOffset>
            </wp:positionV>
            <wp:extent cx="7132320" cy="1460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2320" cy="14605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-136525</wp:posOffset>
            </wp:positionV>
            <wp:extent cx="7132320" cy="13716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2320" cy="13716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15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20" w:type="dxa"/>
            <w:vAlign w:val="bottom"/>
          </w:tcPr>
          <w:p>
            <w:pPr>
              <w:spacing w:after="0"/>
              <w:rPr>
                <w:sz w:val="18"/>
                <w:szCs w:val="18"/>
                <w:color w:val="auto"/>
              </w:rPr>
            </w:pPr>
          </w:p>
        </w:tc>
        <w:tc>
          <w:tcPr>
            <w:tcW w:w="1940" w:type="dxa"/>
            <w:vAlign w:val="bottom"/>
            <w:gridSpan w:val="2"/>
          </w:tcPr>
          <w:p>
            <w:pPr>
              <w:jc w:val="center"/>
              <w:ind w:right="280"/>
              <w:spacing w:after="0"/>
              <w:rPr>
                <w:sz w:val="20"/>
                <w:szCs w:val="20"/>
                <w:color w:val="auto"/>
              </w:rPr>
            </w:pPr>
            <w:r>
              <w:rPr>
                <w:rFonts w:ascii="Times New Roman" w:cs="Times New Roman" w:eastAsia="Times New Roman" w:hAnsi="Times New Roman"/>
                <w:sz w:val="18"/>
                <w:szCs w:val="18"/>
                <w:b w:val="1"/>
                <w:bCs w:val="1"/>
                <w:color w:val="auto"/>
                <w:w w:val="99"/>
              </w:rPr>
              <w:t>Value of Initial Fixed</w:t>
            </w:r>
          </w:p>
        </w:tc>
        <w:tc>
          <w:tcPr>
            <w:tcW w:w="16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206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rPr>
              <w:t>$100 Investment Based</w:t>
            </w:r>
          </w:p>
        </w:tc>
        <w:tc>
          <w:tcPr>
            <w:tcW w:w="16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38"/>
        </w:trPr>
        <w:tc>
          <w:tcPr>
            <w:tcW w:w="120" w:type="dxa"/>
            <w:vAlign w:val="bottom"/>
          </w:tcPr>
          <w:p>
            <w:pPr>
              <w:spacing w:after="0"/>
              <w:rPr>
                <w:sz w:val="20"/>
                <w:szCs w:val="20"/>
                <w:color w:val="auto"/>
              </w:rPr>
            </w:pPr>
          </w:p>
        </w:tc>
        <w:tc>
          <w:tcPr>
            <w:tcW w:w="1940" w:type="dxa"/>
            <w:vAlign w:val="bottom"/>
            <w:gridSpan w:val="2"/>
          </w:tcPr>
          <w:p>
            <w:pPr>
              <w:jc w:val="center"/>
              <w:ind w:right="280"/>
              <w:spacing w:after="0"/>
              <w:rPr>
                <w:sz w:val="20"/>
                <w:szCs w:val="20"/>
                <w:color w:val="auto"/>
              </w:rPr>
            </w:pPr>
            <w:r>
              <w:rPr>
                <w:rFonts w:ascii="Times New Roman" w:cs="Times New Roman" w:eastAsia="Times New Roman" w:hAnsi="Times New Roman"/>
                <w:sz w:val="18"/>
                <w:szCs w:val="18"/>
                <w:b w:val="1"/>
                <w:bCs w:val="1"/>
                <w:color w:val="auto"/>
                <w:w w:val="98"/>
              </w:rPr>
              <w:t>on Total shareholder</w:t>
            </w:r>
          </w:p>
        </w:tc>
        <w:tc>
          <w:tcPr>
            <w:tcW w:w="160" w:type="dxa"/>
            <w:vAlign w:val="bottom"/>
          </w:tcPr>
          <w:p>
            <w:pPr>
              <w:spacing w:after="0"/>
              <w:rPr>
                <w:sz w:val="20"/>
                <w:szCs w:val="20"/>
                <w:color w:val="auto"/>
              </w:rPr>
            </w:pPr>
          </w:p>
        </w:tc>
        <w:tc>
          <w:tcPr>
            <w:tcW w:w="1980" w:type="dxa"/>
            <w:vAlign w:val="bottom"/>
            <w:gridSpan w:val="3"/>
          </w:tcPr>
          <w:p>
            <w:pPr>
              <w:jc w:val="center"/>
              <w:ind w:right="60"/>
              <w:spacing w:after="0"/>
              <w:rPr>
                <w:sz w:val="20"/>
                <w:szCs w:val="20"/>
                <w:color w:val="auto"/>
              </w:rPr>
            </w:pPr>
            <w:r>
              <w:rPr>
                <w:rFonts w:ascii="Times New Roman" w:cs="Times New Roman" w:eastAsia="Times New Roman" w:hAnsi="Times New Roman"/>
                <w:sz w:val="18"/>
                <w:szCs w:val="18"/>
                <w:b w:val="1"/>
                <w:bCs w:val="1"/>
                <w:color w:val="auto"/>
                <w:w w:val="99"/>
              </w:rPr>
              <w:t>Net Loss (in thousands)</w:t>
            </w:r>
          </w:p>
        </w:tc>
      </w:tr>
      <w:tr>
        <w:trPr>
          <w:trHeight w:val="257"/>
        </w:trPr>
        <w:tc>
          <w:tcPr>
            <w:tcW w:w="120" w:type="dxa"/>
            <w:vAlign w:val="bottom"/>
          </w:tcPr>
          <w:p>
            <w:pPr>
              <w:spacing w:after="0"/>
              <w:rPr>
                <w:sz w:val="22"/>
                <w:szCs w:val="22"/>
                <w:color w:val="auto"/>
              </w:rPr>
            </w:pPr>
          </w:p>
        </w:tc>
        <w:tc>
          <w:tcPr>
            <w:tcW w:w="1940" w:type="dxa"/>
            <w:vAlign w:val="bottom"/>
            <w:gridSpan w:val="2"/>
          </w:tcPr>
          <w:p>
            <w:pPr>
              <w:jc w:val="center"/>
              <w:ind w:right="280"/>
              <w:spacing w:after="0" w:line="256" w:lineRule="exact"/>
              <w:rPr>
                <w:sz w:val="20"/>
                <w:szCs w:val="20"/>
                <w:color w:val="auto"/>
              </w:rPr>
            </w:pPr>
            <w:r>
              <w:rPr>
                <w:rFonts w:ascii="Times New Roman" w:cs="Times New Roman" w:eastAsia="Times New Roman" w:hAnsi="Times New Roman"/>
                <w:sz w:val="18"/>
                <w:szCs w:val="18"/>
                <w:b w:val="1"/>
                <w:bCs w:val="1"/>
                <w:color w:val="auto"/>
                <w:w w:val="95"/>
              </w:rPr>
              <w:t xml:space="preserve">Return </w:t>
            </w:r>
            <w:r>
              <w:rPr>
                <w:rFonts w:ascii="Times New Roman" w:cs="Times New Roman" w:eastAsia="Times New Roman" w:hAnsi="Times New Roman"/>
                <w:sz w:val="29"/>
                <w:szCs w:val="29"/>
                <w:b w:val="1"/>
                <w:bCs w:val="1"/>
                <w:color w:val="auto"/>
                <w:w w:val="95"/>
                <w:vertAlign w:val="superscript"/>
              </w:rPr>
              <w:t>(7)</w:t>
            </w:r>
          </w:p>
        </w:tc>
        <w:tc>
          <w:tcPr>
            <w:tcW w:w="160" w:type="dxa"/>
            <w:vAlign w:val="bottom"/>
          </w:tcPr>
          <w:p>
            <w:pPr>
              <w:spacing w:after="0"/>
              <w:rPr>
                <w:sz w:val="22"/>
                <w:szCs w:val="22"/>
                <w:color w:val="auto"/>
              </w:rPr>
            </w:pPr>
          </w:p>
        </w:tc>
        <w:tc>
          <w:tcPr>
            <w:tcW w:w="480" w:type="dxa"/>
            <w:vAlign w:val="bottom"/>
          </w:tcPr>
          <w:p>
            <w:pPr>
              <w:spacing w:after="0"/>
              <w:rPr>
                <w:sz w:val="22"/>
                <w:szCs w:val="22"/>
                <w:color w:val="auto"/>
              </w:rPr>
            </w:pPr>
          </w:p>
        </w:tc>
        <w:tc>
          <w:tcPr>
            <w:tcW w:w="1440" w:type="dxa"/>
            <w:vAlign w:val="bottom"/>
          </w:tcPr>
          <w:p>
            <w:pPr>
              <w:jc w:val="right"/>
              <w:ind w:right="794"/>
              <w:spacing w:after="0"/>
              <w:rPr>
                <w:sz w:val="20"/>
                <w:szCs w:val="20"/>
                <w:color w:val="auto"/>
              </w:rPr>
            </w:pPr>
            <w:r>
              <w:rPr>
                <w:rFonts w:ascii="Times New Roman" w:cs="Times New Roman" w:eastAsia="Times New Roman" w:hAnsi="Times New Roman"/>
                <w:sz w:val="15"/>
                <w:szCs w:val="15"/>
                <w:b w:val="1"/>
                <w:bCs w:val="1"/>
                <w:color w:val="auto"/>
              </w:rPr>
              <w:t>(8)</w:t>
            </w:r>
          </w:p>
        </w:tc>
        <w:tc>
          <w:tcPr>
            <w:tcW w:w="60" w:type="dxa"/>
            <w:vAlign w:val="bottom"/>
          </w:tcPr>
          <w:p>
            <w:pPr>
              <w:spacing w:after="0"/>
              <w:rPr>
                <w:sz w:val="22"/>
                <w:szCs w:val="22"/>
                <w:color w:val="auto"/>
              </w:rPr>
            </w:pPr>
          </w:p>
        </w:tc>
      </w:tr>
      <w:tr>
        <w:trPr>
          <w:trHeight w:val="191"/>
        </w:trPr>
        <w:tc>
          <w:tcPr>
            <w:tcW w:w="120" w:type="dxa"/>
            <w:vAlign w:val="bottom"/>
            <w:tcBorders>
              <w:top w:val="single" w:sz="8" w:color="auto"/>
            </w:tcBorders>
          </w:tcPr>
          <w:p>
            <w:pPr>
              <w:jc w:val="right"/>
              <w:spacing w:after="0" w:line="191" w:lineRule="exact"/>
              <w:rPr>
                <w:sz w:val="20"/>
                <w:szCs w:val="20"/>
                <w:color w:val="auto"/>
              </w:rPr>
            </w:pPr>
            <w:r>
              <w:rPr>
                <w:rFonts w:ascii="Times New Roman" w:cs="Times New Roman" w:eastAsia="Times New Roman" w:hAnsi="Times New Roman"/>
                <w:sz w:val="18"/>
                <w:szCs w:val="18"/>
                <w:color w:val="auto"/>
                <w:w w:val="88"/>
              </w:rPr>
              <w:t>$</w:t>
            </w:r>
          </w:p>
        </w:tc>
        <w:tc>
          <w:tcPr>
            <w:tcW w:w="1780" w:type="dxa"/>
            <w:vAlign w:val="bottom"/>
            <w:tcBorders>
              <w:top w:val="single" w:sz="8" w:color="auto"/>
            </w:tcBorders>
          </w:tcPr>
          <w:p>
            <w:pPr>
              <w:jc w:val="right"/>
              <w:spacing w:after="0" w:line="191" w:lineRule="exact"/>
              <w:rPr>
                <w:sz w:val="20"/>
                <w:szCs w:val="20"/>
                <w:color w:val="auto"/>
              </w:rPr>
            </w:pPr>
            <w:r>
              <w:rPr>
                <w:rFonts w:ascii="Times New Roman" w:cs="Times New Roman" w:eastAsia="Times New Roman" w:hAnsi="Times New Roman"/>
                <w:sz w:val="18"/>
                <w:szCs w:val="18"/>
                <w:color w:val="auto"/>
              </w:rPr>
              <w:t>0.19</w:t>
            </w:r>
          </w:p>
        </w:tc>
        <w:tc>
          <w:tcPr>
            <w:tcW w:w="1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480" w:type="dxa"/>
            <w:vAlign w:val="bottom"/>
            <w:tcBorders>
              <w:top w:val="single" w:sz="8" w:color="auto"/>
            </w:tcBorders>
          </w:tcPr>
          <w:p>
            <w:pPr>
              <w:jc w:val="right"/>
              <w:ind w:right="290"/>
              <w:spacing w:after="0" w:line="191" w:lineRule="exact"/>
              <w:rPr>
                <w:sz w:val="20"/>
                <w:szCs w:val="20"/>
                <w:color w:val="auto"/>
              </w:rPr>
            </w:pPr>
            <w:r>
              <w:rPr>
                <w:rFonts w:ascii="Times New Roman" w:cs="Times New Roman" w:eastAsia="Times New Roman" w:hAnsi="Times New Roman"/>
                <w:sz w:val="18"/>
                <w:szCs w:val="18"/>
                <w:color w:val="auto"/>
                <w:w w:val="88"/>
              </w:rPr>
              <w:t>$</w:t>
            </w:r>
          </w:p>
        </w:tc>
        <w:tc>
          <w:tcPr>
            <w:tcW w:w="1440" w:type="dxa"/>
            <w:vAlign w:val="bottom"/>
            <w:tcBorders>
              <w:top w:val="single" w:sz="8" w:color="auto"/>
            </w:tcBorders>
          </w:tcPr>
          <w:p>
            <w:pPr>
              <w:ind w:left="880"/>
              <w:spacing w:after="0" w:line="191" w:lineRule="exact"/>
              <w:rPr>
                <w:sz w:val="20"/>
                <w:szCs w:val="20"/>
                <w:color w:val="auto"/>
              </w:rPr>
            </w:pPr>
            <w:r>
              <w:rPr>
                <w:rFonts w:ascii="Times New Roman" w:cs="Times New Roman" w:eastAsia="Times New Roman" w:hAnsi="Times New Roman"/>
                <w:sz w:val="18"/>
                <w:szCs w:val="18"/>
                <w:color w:val="auto"/>
                <w:w w:val="87"/>
              </w:rPr>
              <w:t>(14,858)</w:t>
            </w:r>
          </w:p>
        </w:tc>
        <w:tc>
          <w:tcPr>
            <w:tcW w:w="60" w:type="dxa"/>
            <w:vAlign w:val="bottom"/>
          </w:tcPr>
          <w:p>
            <w:pPr>
              <w:spacing w:after="0"/>
              <w:rPr>
                <w:sz w:val="16"/>
                <w:szCs w:val="16"/>
                <w:color w:val="auto"/>
              </w:rPr>
            </w:pPr>
          </w:p>
        </w:tc>
      </w:tr>
      <w:tr>
        <w:trPr>
          <w:trHeight w:val="216"/>
        </w:trPr>
        <w:tc>
          <w:tcPr>
            <w:tcW w:w="12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94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52.92</w:t>
            </w:r>
          </w:p>
        </w:tc>
        <w:tc>
          <w:tcPr>
            <w:tcW w:w="640" w:type="dxa"/>
            <w:vAlign w:val="bottom"/>
            <w:gridSpan w:val="2"/>
          </w:tcPr>
          <w:p>
            <w:pPr>
              <w:jc w:val="right"/>
              <w:ind w:right="290"/>
              <w:spacing w:after="0"/>
              <w:rPr>
                <w:sz w:val="20"/>
                <w:szCs w:val="20"/>
                <w:color w:val="auto"/>
              </w:rPr>
            </w:pPr>
            <w:r>
              <w:rPr>
                <w:rFonts w:ascii="Times New Roman" w:cs="Times New Roman" w:eastAsia="Times New Roman" w:hAnsi="Times New Roman"/>
                <w:sz w:val="18"/>
                <w:szCs w:val="18"/>
                <w:color w:val="auto"/>
              </w:rPr>
              <w:t>$</w:t>
            </w:r>
          </w:p>
        </w:tc>
        <w:tc>
          <w:tcPr>
            <w:tcW w:w="1500" w:type="dxa"/>
            <w:vAlign w:val="bottom"/>
            <w:gridSpan w:val="2"/>
          </w:tcPr>
          <w:p>
            <w:pPr>
              <w:ind w:left="880"/>
              <w:spacing w:after="0"/>
              <w:rPr>
                <w:sz w:val="20"/>
                <w:szCs w:val="20"/>
                <w:color w:val="auto"/>
              </w:rPr>
            </w:pPr>
            <w:r>
              <w:rPr>
                <w:rFonts w:ascii="Times New Roman" w:cs="Times New Roman" w:eastAsia="Times New Roman" w:hAnsi="Times New Roman"/>
                <w:sz w:val="18"/>
                <w:szCs w:val="18"/>
                <w:color w:val="auto"/>
                <w:w w:val="97"/>
              </w:rPr>
              <w:t>(18,851)</w:t>
            </w:r>
          </w:p>
        </w:tc>
      </w:tr>
      <w:tr>
        <w:trPr>
          <w:trHeight w:val="234"/>
        </w:trPr>
        <w:tc>
          <w:tcPr>
            <w:tcW w:w="12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94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11.40</w:t>
            </w:r>
          </w:p>
        </w:tc>
        <w:tc>
          <w:tcPr>
            <w:tcW w:w="640" w:type="dxa"/>
            <w:vAlign w:val="bottom"/>
            <w:gridSpan w:val="2"/>
          </w:tcPr>
          <w:p>
            <w:pPr>
              <w:jc w:val="right"/>
              <w:ind w:right="290"/>
              <w:spacing w:after="0"/>
              <w:rPr>
                <w:sz w:val="20"/>
                <w:szCs w:val="20"/>
                <w:color w:val="auto"/>
              </w:rPr>
            </w:pPr>
            <w:r>
              <w:rPr>
                <w:rFonts w:ascii="Times New Roman" w:cs="Times New Roman" w:eastAsia="Times New Roman" w:hAnsi="Times New Roman"/>
                <w:sz w:val="18"/>
                <w:szCs w:val="18"/>
                <w:color w:val="auto"/>
              </w:rPr>
              <w:t>$</w:t>
            </w:r>
          </w:p>
        </w:tc>
        <w:tc>
          <w:tcPr>
            <w:tcW w:w="1500" w:type="dxa"/>
            <w:vAlign w:val="bottom"/>
            <w:gridSpan w:val="2"/>
          </w:tcPr>
          <w:p>
            <w:pPr>
              <w:ind w:left="880"/>
              <w:spacing w:after="0"/>
              <w:rPr>
                <w:sz w:val="20"/>
                <w:szCs w:val="20"/>
                <w:color w:val="auto"/>
              </w:rPr>
            </w:pPr>
            <w:r>
              <w:rPr>
                <w:rFonts w:ascii="Times New Roman" w:cs="Times New Roman" w:eastAsia="Times New Roman" w:hAnsi="Times New Roman"/>
                <w:sz w:val="18"/>
                <w:szCs w:val="18"/>
                <w:color w:val="auto"/>
                <w:w w:val="97"/>
              </w:rPr>
              <w:t>(15,274)</w:t>
            </w:r>
          </w:p>
        </w:tc>
      </w:tr>
    </w:tbl>
    <w:p>
      <w:pPr>
        <w:spacing w:after="0" w:line="198" w:lineRule="exact"/>
        <w:rPr>
          <w:sz w:val="20"/>
          <w:szCs w:val="20"/>
          <w:color w:val="auto"/>
        </w:rPr>
      </w:pPr>
    </w:p>
    <w:p>
      <w:pPr>
        <w:sectPr>
          <w:pgSz w:w="11900" w:h="16838" w:orient="portrait"/>
          <w:cols w:equalWidth="0" w:num="2">
            <w:col w:w="6680" w:space="320"/>
            <w:col w:w="4240"/>
          </w:cols>
          <w:pgMar w:left="320" w:top="796" w:right="339" w:bottom="1440" w:gutter="0" w:footer="0" w:header="0"/>
          <w:type w:val="continuous"/>
        </w:sectPr>
      </w:pPr>
    </w:p>
    <w:p>
      <w:pPr>
        <w:spacing w:after="0"/>
        <w:rPr>
          <w:sz w:val="20"/>
          <w:szCs w:val="20"/>
          <w:color w:val="auto"/>
        </w:rPr>
      </w:pPr>
      <w:r>
        <w:rPr>
          <w:rFonts w:ascii="Times New Roman" w:cs="Times New Roman" w:eastAsia="Times New Roman" w:hAnsi="Times New Roman"/>
          <w:sz w:val="18"/>
          <w:szCs w:val="18"/>
          <w:color w:val="auto"/>
        </w:rPr>
        <w:t>(1) The following table lists the PEO and non-PEO NEOs for each of fiscal years 2024, 2023 and 2022:</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21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Fiscal Year</w:t>
            </w:r>
          </w:p>
        </w:tc>
        <w:tc>
          <w:tcPr>
            <w:tcW w:w="33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PEO</w:t>
            </w:r>
          </w:p>
        </w:tc>
        <w:tc>
          <w:tcPr>
            <w:tcW w:w="572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Non-PEO NEOs</w:t>
            </w:r>
          </w:p>
        </w:tc>
      </w:tr>
      <w:tr>
        <w:trPr>
          <w:trHeight w:val="209"/>
        </w:trPr>
        <w:tc>
          <w:tcPr>
            <w:tcW w:w="1920" w:type="dxa"/>
            <w:vAlign w:val="bottom"/>
            <w:tcBorders>
              <w:top w:val="single" w:sz="8" w:color="auto"/>
            </w:tcBorders>
            <w:shd w:val="clear" w:color="auto" w:fill="E8E8E8"/>
          </w:tcPr>
          <w:p>
            <w:pPr>
              <w:jc w:val="center"/>
              <w:spacing w:after="0"/>
              <w:rPr>
                <w:sz w:val="20"/>
                <w:szCs w:val="20"/>
                <w:color w:val="auto"/>
              </w:rPr>
            </w:pPr>
            <w:r>
              <w:rPr>
                <w:rFonts w:ascii="Times New Roman" w:cs="Times New Roman" w:eastAsia="Times New Roman" w:hAnsi="Times New Roman"/>
                <w:sz w:val="18"/>
                <w:szCs w:val="18"/>
                <w:color w:val="auto"/>
                <w:w w:val="99"/>
              </w:rPr>
              <w:t>2024</w:t>
            </w:r>
          </w:p>
        </w:tc>
        <w:tc>
          <w:tcPr>
            <w:tcW w:w="240" w:type="dxa"/>
            <w:vAlign w:val="bottom"/>
            <w:tcBorders>
              <w:top w:val="single" w:sz="8" w:color="E8E8E8"/>
            </w:tcBorders>
            <w:shd w:val="clear" w:color="auto" w:fill="E8E8E8"/>
          </w:tcPr>
          <w:p>
            <w:pPr>
              <w:spacing w:after="0"/>
              <w:rPr>
                <w:sz w:val="18"/>
                <w:szCs w:val="18"/>
                <w:color w:val="auto"/>
              </w:rPr>
            </w:pPr>
          </w:p>
        </w:tc>
        <w:tc>
          <w:tcPr>
            <w:tcW w:w="3140" w:type="dxa"/>
            <w:vAlign w:val="bottom"/>
            <w:tcBorders>
              <w:top w:val="single" w:sz="8" w:color="auto"/>
            </w:tcBorders>
            <w:shd w:val="clear" w:color="auto" w:fill="E8E8E8"/>
          </w:tcPr>
          <w:p>
            <w:pPr>
              <w:jc w:val="center"/>
              <w:spacing w:after="0"/>
              <w:rPr>
                <w:sz w:val="20"/>
                <w:szCs w:val="20"/>
                <w:color w:val="auto"/>
              </w:rPr>
            </w:pPr>
            <w:r>
              <w:rPr>
                <w:rFonts w:ascii="Times New Roman" w:cs="Times New Roman" w:eastAsia="Times New Roman" w:hAnsi="Times New Roman"/>
                <w:sz w:val="18"/>
                <w:szCs w:val="18"/>
                <w:color w:val="auto"/>
                <w:w w:val="99"/>
              </w:rPr>
              <w:t>John M. Climaco</w:t>
            </w:r>
          </w:p>
        </w:tc>
        <w:tc>
          <w:tcPr>
            <w:tcW w:w="220" w:type="dxa"/>
            <w:vAlign w:val="bottom"/>
            <w:tcBorders>
              <w:top w:val="single" w:sz="8" w:color="E8E8E8"/>
            </w:tcBorders>
            <w:shd w:val="clear" w:color="auto" w:fill="E8E8E8"/>
          </w:tcPr>
          <w:p>
            <w:pPr>
              <w:spacing w:after="0"/>
              <w:rPr>
                <w:sz w:val="18"/>
                <w:szCs w:val="18"/>
                <w:color w:val="auto"/>
              </w:rPr>
            </w:pPr>
          </w:p>
        </w:tc>
        <w:tc>
          <w:tcPr>
            <w:tcW w:w="5720" w:type="dxa"/>
            <w:vAlign w:val="bottom"/>
            <w:tcBorders>
              <w:top w:val="single" w:sz="8" w:color="auto"/>
            </w:tcBorders>
            <w:shd w:val="clear" w:color="auto" w:fill="E8E8E8"/>
          </w:tcPr>
          <w:p>
            <w:pPr>
              <w:jc w:val="center"/>
              <w:spacing w:after="0"/>
              <w:rPr>
                <w:sz w:val="20"/>
                <w:szCs w:val="20"/>
                <w:color w:val="auto"/>
              </w:rPr>
            </w:pPr>
            <w:r>
              <w:rPr>
                <w:rFonts w:ascii="Times New Roman" w:cs="Times New Roman" w:eastAsia="Times New Roman" w:hAnsi="Times New Roman"/>
                <w:sz w:val="18"/>
                <w:szCs w:val="18"/>
                <w:color w:val="auto"/>
                <w:w w:val="99"/>
              </w:rPr>
              <w:t>Christopher Downs and Sandra Silberman</w:t>
            </w:r>
          </w:p>
        </w:tc>
      </w:tr>
      <w:tr>
        <w:trPr>
          <w:trHeight w:val="216"/>
        </w:trPr>
        <w:tc>
          <w:tcPr>
            <w:tcW w:w="19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2023</w:t>
            </w:r>
          </w:p>
        </w:tc>
        <w:tc>
          <w:tcPr>
            <w:tcW w:w="240" w:type="dxa"/>
            <w:vAlign w:val="bottom"/>
          </w:tcPr>
          <w:p>
            <w:pPr>
              <w:spacing w:after="0"/>
              <w:rPr>
                <w:sz w:val="18"/>
                <w:szCs w:val="18"/>
                <w:color w:val="auto"/>
              </w:rPr>
            </w:pPr>
          </w:p>
        </w:tc>
        <w:tc>
          <w:tcPr>
            <w:tcW w:w="336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color w:val="auto"/>
                <w:w w:val="99"/>
              </w:rPr>
              <w:t>John M. Climaco</w:t>
            </w:r>
          </w:p>
        </w:tc>
        <w:tc>
          <w:tcPr>
            <w:tcW w:w="57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Christopher Downs and Sandra Silberman</w:t>
            </w:r>
          </w:p>
        </w:tc>
      </w:tr>
      <w:tr>
        <w:trPr>
          <w:trHeight w:val="216"/>
        </w:trPr>
        <w:tc>
          <w:tcPr>
            <w:tcW w:w="1920" w:type="dxa"/>
            <w:vAlign w:val="bottom"/>
            <w:shd w:val="clear" w:color="auto" w:fill="E8E8E8"/>
          </w:tcPr>
          <w:p>
            <w:pPr>
              <w:jc w:val="center"/>
              <w:spacing w:after="0"/>
              <w:rPr>
                <w:sz w:val="20"/>
                <w:szCs w:val="20"/>
                <w:color w:val="auto"/>
              </w:rPr>
            </w:pPr>
            <w:r>
              <w:rPr>
                <w:rFonts w:ascii="Times New Roman" w:cs="Times New Roman" w:eastAsia="Times New Roman" w:hAnsi="Times New Roman"/>
                <w:sz w:val="18"/>
                <w:szCs w:val="18"/>
                <w:color w:val="auto"/>
                <w:w w:val="99"/>
              </w:rPr>
              <w:t>2022</w:t>
            </w:r>
          </w:p>
        </w:tc>
        <w:tc>
          <w:tcPr>
            <w:tcW w:w="240" w:type="dxa"/>
            <w:vAlign w:val="bottom"/>
            <w:shd w:val="clear" w:color="auto" w:fill="E8E8E8"/>
          </w:tcPr>
          <w:p>
            <w:pPr>
              <w:spacing w:after="0"/>
              <w:rPr>
                <w:sz w:val="18"/>
                <w:szCs w:val="18"/>
                <w:color w:val="auto"/>
              </w:rPr>
            </w:pPr>
          </w:p>
        </w:tc>
        <w:tc>
          <w:tcPr>
            <w:tcW w:w="3360" w:type="dxa"/>
            <w:vAlign w:val="bottom"/>
            <w:gridSpan w:val="2"/>
            <w:shd w:val="clear" w:color="auto" w:fill="E8E8E8"/>
          </w:tcPr>
          <w:p>
            <w:pPr>
              <w:jc w:val="center"/>
              <w:ind w:right="240"/>
              <w:spacing w:after="0"/>
              <w:rPr>
                <w:sz w:val="20"/>
                <w:szCs w:val="20"/>
                <w:color w:val="auto"/>
              </w:rPr>
            </w:pPr>
            <w:r>
              <w:rPr>
                <w:rFonts w:ascii="Times New Roman" w:cs="Times New Roman" w:eastAsia="Times New Roman" w:hAnsi="Times New Roman"/>
                <w:sz w:val="18"/>
                <w:szCs w:val="18"/>
                <w:color w:val="auto"/>
                <w:w w:val="99"/>
              </w:rPr>
              <w:t>John M. Climaco</w:t>
            </w:r>
          </w:p>
        </w:tc>
        <w:tc>
          <w:tcPr>
            <w:tcW w:w="5720" w:type="dxa"/>
            <w:vAlign w:val="bottom"/>
            <w:shd w:val="clear" w:color="auto" w:fill="E8E8E8"/>
          </w:tcPr>
          <w:p>
            <w:pPr>
              <w:jc w:val="center"/>
              <w:spacing w:after="0"/>
              <w:rPr>
                <w:sz w:val="20"/>
                <w:szCs w:val="20"/>
                <w:color w:val="auto"/>
              </w:rPr>
            </w:pPr>
            <w:r>
              <w:rPr>
                <w:rFonts w:ascii="Times New Roman" w:cs="Times New Roman" w:eastAsia="Times New Roman" w:hAnsi="Times New Roman"/>
                <w:sz w:val="18"/>
                <w:szCs w:val="18"/>
                <w:color w:val="auto"/>
                <w:w w:val="99"/>
              </w:rPr>
              <w:t>Christopher Downs and Sandra Silberman</w:t>
            </w:r>
          </w:p>
        </w:tc>
      </w:tr>
    </w:tbl>
    <w:p>
      <w:pPr>
        <w:spacing w:after="0" w:line="198" w:lineRule="exact"/>
        <w:rPr>
          <w:sz w:val="20"/>
          <w:szCs w:val="20"/>
          <w:color w:val="auto"/>
        </w:rPr>
      </w:pPr>
    </w:p>
    <w:p>
      <w:pPr>
        <w:ind w:firstLine="8"/>
        <w:spacing w:after="0" w:line="282" w:lineRule="auto"/>
        <w:tabs>
          <w:tab w:leader="none" w:pos="271" w:val="left"/>
        </w:tabs>
        <w:numPr>
          <w:ilvl w:val="0"/>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dollar amounts reported in column (b) are the amounts of total compensation reported for our CEOs for each corresponding year in the “Total” column of the Summary Executive Compensation Table. 'Refer to “Executive and Director Compensation—Summary Executive Compensation Table”</w:t>
      </w:r>
    </w:p>
    <w:p>
      <w:pPr>
        <w:spacing w:after="0" w:line="161" w:lineRule="exact"/>
        <w:rPr>
          <w:rFonts w:ascii="Times New Roman" w:cs="Times New Roman" w:eastAsia="Times New Roman" w:hAnsi="Times New Roman"/>
          <w:sz w:val="18"/>
          <w:szCs w:val="18"/>
          <w:color w:val="auto"/>
        </w:rPr>
      </w:pPr>
    </w:p>
    <w:p>
      <w:pPr>
        <w:jc w:val="both"/>
        <w:ind w:firstLine="8"/>
        <w:spacing w:after="0" w:line="258" w:lineRule="auto"/>
        <w:tabs>
          <w:tab w:leader="none" w:pos="255" w:val="left"/>
        </w:tabs>
        <w:numPr>
          <w:ilvl w:val="0"/>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dollar amounts reported represent the amount of “compensation actually paid,” as calculated in accordance with the Pay Versus Performance Rules. These dollar amounts do not reflect the actual amounts of compensation earned by or paid to our PEOs during the applicable year. For purposes of calculating “compensation actually paid,” the fair value of equity awards is calculated in accordance with FASB ASC Topic 718 using the same assumption methodologies used to calculate the grant date fair value of awards for purposes of the Summary Compensation Table (refer to the Summary Compensation Table for additional information).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type w:val="continuous"/>
        </w:sectPr>
      </w:pPr>
    </w:p>
    <w:bookmarkStart w:id="21" w:name="page22"/>
    <w:bookmarkEnd w:id="21"/>
    <w:p>
      <w:pPr>
        <w:ind w:right="20" w:firstLine="8"/>
        <w:spacing w:after="0" w:line="282" w:lineRule="auto"/>
        <w:tabs>
          <w:tab w:leader="none" w:pos="261" w:val="left"/>
        </w:tabs>
        <w:numPr>
          <w:ilvl w:val="0"/>
          <w:numId w:val="1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following table shows the amounts deducted from and added to the Summary Compensation Table total to calculate “compensation actually paid” to our PEOs in accordance with the Pay Versus Performance Rules:</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040" w:type="dxa"/>
            <w:vAlign w:val="bottom"/>
            <w:gridSpan w:val="2"/>
          </w:tcPr>
          <w:p>
            <w:pPr>
              <w:jc w:val="right"/>
              <w:ind w:right="440"/>
              <w:spacing w:after="0"/>
              <w:rPr>
                <w:sz w:val="20"/>
                <w:szCs w:val="20"/>
                <w:color w:val="auto"/>
              </w:rPr>
            </w:pPr>
            <w:r>
              <w:rPr>
                <w:rFonts w:ascii="Times New Roman" w:cs="Times New Roman" w:eastAsia="Times New Roman" w:hAnsi="Times New Roman"/>
                <w:sz w:val="18"/>
                <w:szCs w:val="18"/>
                <w:b w:val="1"/>
                <w:bCs w:val="1"/>
                <w:color w:val="auto"/>
              </w:rPr>
              <w:t>Reported Summary</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7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7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20" w:type="dxa"/>
            <w:vAlign w:val="bottom"/>
            <w:gridSpan w:val="3"/>
          </w:tcPr>
          <w:p>
            <w:pPr>
              <w:ind w:left="20"/>
              <w:spacing w:after="0"/>
              <w:rPr>
                <w:sz w:val="20"/>
                <w:szCs w:val="20"/>
                <w:color w:val="auto"/>
              </w:rPr>
            </w:pPr>
            <w:r>
              <w:rPr>
                <w:rFonts w:ascii="Times New Roman" w:cs="Times New Roman" w:eastAsia="Times New Roman" w:hAnsi="Times New Roman"/>
                <w:sz w:val="18"/>
                <w:szCs w:val="18"/>
                <w:b w:val="1"/>
                <w:bCs w:val="1"/>
                <w:color w:val="auto"/>
              </w:rPr>
              <w:t>Compensation Table Total</w:t>
            </w:r>
          </w:p>
        </w:tc>
        <w:tc>
          <w:tcPr>
            <w:tcW w:w="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60" w:type="dxa"/>
            <w:vAlign w:val="bottom"/>
            <w:gridSpan w:val="2"/>
          </w:tcPr>
          <w:p>
            <w:pPr>
              <w:jc w:val="right"/>
              <w:ind w:right="580"/>
              <w:spacing w:after="0"/>
              <w:rPr>
                <w:sz w:val="20"/>
                <w:szCs w:val="20"/>
                <w:color w:val="auto"/>
              </w:rPr>
            </w:pPr>
            <w:r>
              <w:rPr>
                <w:rFonts w:ascii="Times New Roman" w:cs="Times New Roman" w:eastAsia="Times New Roman" w:hAnsi="Times New Roman"/>
                <w:sz w:val="18"/>
                <w:szCs w:val="18"/>
                <w:b w:val="1"/>
                <w:bCs w:val="1"/>
                <w:color w:val="auto"/>
              </w:rPr>
              <w:t>Reported Value of</w:t>
            </w:r>
          </w:p>
        </w:tc>
        <w:tc>
          <w:tcPr>
            <w:tcW w:w="200" w:type="dxa"/>
            <w:vAlign w:val="bottom"/>
          </w:tcPr>
          <w:p>
            <w:pPr>
              <w:spacing w:after="0"/>
              <w:rPr>
                <w:sz w:val="18"/>
                <w:szCs w:val="18"/>
                <w:color w:val="auto"/>
              </w:rPr>
            </w:pPr>
          </w:p>
        </w:tc>
        <w:tc>
          <w:tcPr>
            <w:tcW w:w="1900" w:type="dxa"/>
            <w:vAlign w:val="bottom"/>
            <w:gridSpan w:val="2"/>
          </w:tcPr>
          <w:p>
            <w:pPr>
              <w:jc w:val="right"/>
              <w:ind w:right="600"/>
              <w:spacing w:after="0"/>
              <w:rPr>
                <w:sz w:val="20"/>
                <w:szCs w:val="20"/>
                <w:color w:val="auto"/>
              </w:rPr>
            </w:pPr>
            <w:r>
              <w:rPr>
                <w:rFonts w:ascii="Times New Roman" w:cs="Times New Roman" w:eastAsia="Times New Roman" w:hAnsi="Times New Roman"/>
                <w:sz w:val="18"/>
                <w:szCs w:val="18"/>
                <w:b w:val="1"/>
                <w:bCs w:val="1"/>
                <w:color w:val="auto"/>
              </w:rPr>
              <w:t>Equity Award</w:t>
            </w:r>
          </w:p>
        </w:tc>
        <w:tc>
          <w:tcPr>
            <w:tcW w:w="120" w:type="dxa"/>
            <w:vAlign w:val="bottom"/>
          </w:tcPr>
          <w:p>
            <w:pPr>
              <w:spacing w:after="0"/>
              <w:rPr>
                <w:sz w:val="18"/>
                <w:szCs w:val="18"/>
                <w:color w:val="auto"/>
              </w:rPr>
            </w:pPr>
          </w:p>
        </w:tc>
        <w:tc>
          <w:tcPr>
            <w:tcW w:w="202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Compensation Actually</w:t>
            </w:r>
          </w:p>
        </w:tc>
      </w:tr>
      <w:tr>
        <w:trPr>
          <w:trHeight w:val="238"/>
        </w:trPr>
        <w:tc>
          <w:tcPr>
            <w:tcW w:w="2380" w:type="dxa"/>
            <w:vAlign w:val="bottom"/>
            <w:gridSpan w:val="2"/>
          </w:tcPr>
          <w:p>
            <w:pPr>
              <w:ind w:left="900"/>
              <w:spacing w:after="0"/>
              <w:rPr>
                <w:sz w:val="20"/>
                <w:szCs w:val="20"/>
                <w:color w:val="auto"/>
              </w:rPr>
            </w:pPr>
            <w:r>
              <w:rPr>
                <w:rFonts w:ascii="Times New Roman" w:cs="Times New Roman" w:eastAsia="Times New Roman" w:hAnsi="Times New Roman"/>
                <w:sz w:val="18"/>
                <w:szCs w:val="18"/>
                <w:b w:val="1"/>
                <w:bCs w:val="1"/>
                <w:color w:val="auto"/>
              </w:rPr>
              <w:t>Year</w:t>
            </w:r>
          </w:p>
        </w:tc>
        <w:tc>
          <w:tcPr>
            <w:tcW w:w="180" w:type="dxa"/>
            <w:vAlign w:val="bottom"/>
          </w:tcPr>
          <w:p>
            <w:pPr>
              <w:spacing w:after="0"/>
              <w:rPr>
                <w:sz w:val="20"/>
                <w:szCs w:val="20"/>
                <w:color w:val="auto"/>
              </w:rPr>
            </w:pPr>
          </w:p>
        </w:tc>
        <w:tc>
          <w:tcPr>
            <w:tcW w:w="2040" w:type="dxa"/>
            <w:vAlign w:val="bottom"/>
            <w:gridSpan w:val="2"/>
          </w:tcPr>
          <w:p>
            <w:pPr>
              <w:jc w:val="right"/>
              <w:ind w:right="880"/>
              <w:spacing w:after="0"/>
              <w:rPr>
                <w:sz w:val="20"/>
                <w:szCs w:val="20"/>
                <w:color w:val="auto"/>
              </w:rPr>
            </w:pPr>
            <w:r>
              <w:rPr>
                <w:rFonts w:ascii="Times New Roman" w:cs="Times New Roman" w:eastAsia="Times New Roman" w:hAnsi="Times New Roman"/>
                <w:sz w:val="18"/>
                <w:szCs w:val="18"/>
                <w:b w:val="1"/>
                <w:bCs w:val="1"/>
                <w:color w:val="auto"/>
              </w:rPr>
              <w:t>for PEO</w:t>
            </w:r>
          </w:p>
        </w:tc>
        <w:tc>
          <w:tcPr>
            <w:tcW w:w="1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060" w:type="dxa"/>
            <w:vAlign w:val="bottom"/>
            <w:gridSpan w:val="2"/>
          </w:tcPr>
          <w:p>
            <w:pPr>
              <w:jc w:val="right"/>
              <w:ind w:right="560"/>
              <w:spacing w:after="0"/>
              <w:rPr>
                <w:sz w:val="20"/>
                <w:szCs w:val="20"/>
                <w:color w:val="auto"/>
              </w:rPr>
            </w:pPr>
            <w:r>
              <w:rPr>
                <w:rFonts w:ascii="Times New Roman" w:cs="Times New Roman" w:eastAsia="Times New Roman" w:hAnsi="Times New Roman"/>
                <w:sz w:val="18"/>
                <w:szCs w:val="18"/>
                <w:b w:val="1"/>
                <w:bCs w:val="1"/>
                <w:color w:val="auto"/>
              </w:rPr>
              <w:t>Equity Awards (A)</w:t>
            </w:r>
          </w:p>
        </w:tc>
        <w:tc>
          <w:tcPr>
            <w:tcW w:w="200" w:type="dxa"/>
            <w:vAlign w:val="bottom"/>
          </w:tcPr>
          <w:p>
            <w:pPr>
              <w:spacing w:after="0"/>
              <w:rPr>
                <w:sz w:val="20"/>
                <w:szCs w:val="20"/>
                <w:color w:val="auto"/>
              </w:rPr>
            </w:pPr>
          </w:p>
        </w:tc>
        <w:tc>
          <w:tcPr>
            <w:tcW w:w="1900" w:type="dxa"/>
            <w:vAlign w:val="bottom"/>
            <w:gridSpan w:val="2"/>
          </w:tcPr>
          <w:p>
            <w:pPr>
              <w:jc w:val="right"/>
              <w:ind w:right="520"/>
              <w:spacing w:after="0"/>
              <w:rPr>
                <w:sz w:val="20"/>
                <w:szCs w:val="20"/>
                <w:color w:val="auto"/>
              </w:rPr>
            </w:pPr>
            <w:r>
              <w:rPr>
                <w:rFonts w:ascii="Times New Roman" w:cs="Times New Roman" w:eastAsia="Times New Roman" w:hAnsi="Times New Roman"/>
                <w:sz w:val="18"/>
                <w:szCs w:val="18"/>
                <w:b w:val="1"/>
                <w:bCs w:val="1"/>
                <w:color w:val="auto"/>
              </w:rPr>
              <w:t>Adjustments (B)</w:t>
            </w:r>
          </w:p>
        </w:tc>
        <w:tc>
          <w:tcPr>
            <w:tcW w:w="1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740" w:type="dxa"/>
            <w:vAlign w:val="bottom"/>
            <w:gridSpan w:val="2"/>
          </w:tcPr>
          <w:p>
            <w:pPr>
              <w:jc w:val="center"/>
              <w:ind w:right="380"/>
              <w:spacing w:after="0"/>
              <w:rPr>
                <w:sz w:val="20"/>
                <w:szCs w:val="20"/>
                <w:color w:val="auto"/>
              </w:rPr>
            </w:pPr>
            <w:r>
              <w:rPr>
                <w:rFonts w:ascii="Times New Roman" w:cs="Times New Roman" w:eastAsia="Times New Roman" w:hAnsi="Times New Roman"/>
                <w:sz w:val="18"/>
                <w:szCs w:val="18"/>
                <w:b w:val="1"/>
                <w:bCs w:val="1"/>
                <w:color w:val="auto"/>
                <w:w w:val="99"/>
              </w:rPr>
              <w:t>Paid to PEO</w:t>
            </w:r>
          </w:p>
        </w:tc>
      </w:tr>
      <w:tr>
        <w:trPr>
          <w:trHeight w:val="209"/>
        </w:trPr>
        <w:tc>
          <w:tcPr>
            <w:tcW w:w="2160" w:type="dxa"/>
            <w:vAlign w:val="bottom"/>
            <w:tcBorders>
              <w:top w:val="single" w:sz="8" w:color="auto"/>
            </w:tcBorders>
            <w:shd w:val="clear" w:color="auto" w:fill="EEEEEE"/>
          </w:tcPr>
          <w:p>
            <w:pPr>
              <w:ind w:left="900"/>
              <w:spacing w:after="0"/>
              <w:rPr>
                <w:sz w:val="20"/>
                <w:szCs w:val="20"/>
                <w:color w:val="auto"/>
              </w:rPr>
            </w:pPr>
            <w:r>
              <w:rPr>
                <w:rFonts w:ascii="Times New Roman" w:cs="Times New Roman" w:eastAsia="Times New Roman" w:hAnsi="Times New Roman"/>
                <w:sz w:val="18"/>
                <w:szCs w:val="18"/>
                <w:color w:val="auto"/>
              </w:rPr>
              <w:t>2024</w:t>
            </w:r>
          </w:p>
        </w:tc>
        <w:tc>
          <w:tcPr>
            <w:tcW w:w="220" w:type="dxa"/>
            <w:vAlign w:val="bottom"/>
            <w:tcBorders>
              <w:top w:val="single" w:sz="8" w:color="EEEEEE"/>
            </w:tcBorders>
            <w:shd w:val="clear" w:color="auto" w:fill="EEEEEE"/>
          </w:tcPr>
          <w:p>
            <w:pPr>
              <w:spacing w:after="0"/>
              <w:rPr>
                <w:sz w:val="18"/>
                <w:szCs w:val="18"/>
                <w:color w:val="auto"/>
              </w:rPr>
            </w:pPr>
          </w:p>
        </w:tc>
        <w:tc>
          <w:tcPr>
            <w:tcW w:w="18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w:t>
            </w:r>
          </w:p>
        </w:tc>
        <w:tc>
          <w:tcPr>
            <w:tcW w:w="186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1,103,680</w:t>
            </w:r>
          </w:p>
        </w:tc>
        <w:tc>
          <w:tcPr>
            <w:tcW w:w="180" w:type="dxa"/>
            <w:vAlign w:val="bottom"/>
            <w:tcBorders>
              <w:top w:val="single" w:sz="8" w:color="EEEEEE"/>
            </w:tcBorders>
            <w:shd w:val="clear" w:color="auto" w:fill="EEEEEE"/>
          </w:tcPr>
          <w:p>
            <w:pPr>
              <w:spacing w:after="0"/>
              <w:rPr>
                <w:sz w:val="18"/>
                <w:szCs w:val="18"/>
                <w:color w:val="auto"/>
              </w:rPr>
            </w:pPr>
          </w:p>
        </w:tc>
        <w:tc>
          <w:tcPr>
            <w:tcW w:w="180" w:type="dxa"/>
            <w:vAlign w:val="bottom"/>
            <w:tcBorders>
              <w:top w:val="single" w:sz="8" w:color="EEEEEE"/>
            </w:tcBorders>
            <w:shd w:val="clear" w:color="auto" w:fill="EEEEEE"/>
          </w:tcPr>
          <w:p>
            <w:pPr>
              <w:spacing w:after="0"/>
              <w:rPr>
                <w:sz w:val="18"/>
                <w:szCs w:val="18"/>
                <w:color w:val="auto"/>
              </w:rPr>
            </w:pPr>
          </w:p>
        </w:tc>
        <w:tc>
          <w:tcPr>
            <w:tcW w:w="16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74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(292,817)</w:t>
            </w:r>
          </w:p>
        </w:tc>
        <w:tc>
          <w:tcPr>
            <w:tcW w:w="320" w:type="dxa"/>
            <w:vAlign w:val="bottom"/>
            <w:tcBorders>
              <w:top w:val="single" w:sz="8" w:color="EEEEEE"/>
            </w:tcBorders>
            <w:shd w:val="clear" w:color="auto" w:fill="EEEEEE"/>
          </w:tcPr>
          <w:p>
            <w:pPr>
              <w:spacing w:after="0"/>
              <w:rPr>
                <w:sz w:val="18"/>
                <w:szCs w:val="18"/>
                <w:color w:val="auto"/>
              </w:rPr>
            </w:pPr>
          </w:p>
        </w:tc>
        <w:tc>
          <w:tcPr>
            <w:tcW w:w="200" w:type="dxa"/>
            <w:vAlign w:val="bottom"/>
            <w:tcBorders>
              <w:top w:val="single" w:sz="8" w:color="auto"/>
            </w:tcBorders>
            <w:shd w:val="clear" w:color="auto" w:fill="EEEEEE"/>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7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(133,141)</w:t>
            </w:r>
          </w:p>
        </w:tc>
        <w:tc>
          <w:tcPr>
            <w:tcW w:w="200" w:type="dxa"/>
            <w:vAlign w:val="bottom"/>
            <w:tcBorders>
              <w:top w:val="single" w:sz="8" w:color="EEEEEE"/>
            </w:tcBorders>
            <w:shd w:val="clear" w:color="auto" w:fill="EEEEEE"/>
          </w:tcPr>
          <w:p>
            <w:pPr>
              <w:spacing w:after="0"/>
              <w:rPr>
                <w:sz w:val="18"/>
                <w:szCs w:val="18"/>
                <w:color w:val="auto"/>
              </w:rPr>
            </w:pPr>
          </w:p>
        </w:tc>
        <w:tc>
          <w:tcPr>
            <w:tcW w:w="120" w:type="dxa"/>
            <w:vAlign w:val="bottom"/>
            <w:tcBorders>
              <w:top w:val="single" w:sz="8" w:color="EEEEEE"/>
            </w:tcBorders>
            <w:shd w:val="clear" w:color="auto" w:fill="EEEEEE"/>
          </w:tcPr>
          <w:p>
            <w:pPr>
              <w:spacing w:after="0"/>
              <w:rPr>
                <w:sz w:val="18"/>
                <w:szCs w:val="18"/>
                <w:color w:val="auto"/>
              </w:rPr>
            </w:pPr>
          </w:p>
        </w:tc>
        <w:tc>
          <w:tcPr>
            <w:tcW w:w="280" w:type="dxa"/>
            <w:vAlign w:val="bottom"/>
            <w:tcBorders>
              <w:top w:val="single" w:sz="8" w:color="auto"/>
            </w:tcBorders>
            <w:shd w:val="clear" w:color="auto" w:fill="EEEEEE"/>
          </w:tcPr>
          <w:p>
            <w:pPr>
              <w:jc w:val="right"/>
              <w:ind w:right="90"/>
              <w:spacing w:after="0"/>
              <w:rPr>
                <w:sz w:val="20"/>
                <w:szCs w:val="20"/>
                <w:color w:val="auto"/>
              </w:rPr>
            </w:pPr>
            <w:r>
              <w:rPr>
                <w:rFonts w:ascii="Times New Roman" w:cs="Times New Roman" w:eastAsia="Times New Roman" w:hAnsi="Times New Roman"/>
                <w:sz w:val="18"/>
                <w:szCs w:val="18"/>
                <w:color w:val="auto"/>
                <w:w w:val="88"/>
              </w:rPr>
              <w:t>$</w:t>
            </w:r>
          </w:p>
        </w:tc>
        <w:tc>
          <w:tcPr>
            <w:tcW w:w="164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677,722</w:t>
            </w:r>
          </w:p>
        </w:tc>
        <w:tc>
          <w:tcPr>
            <w:tcW w:w="100" w:type="dxa"/>
            <w:vAlign w:val="bottom"/>
            <w:tcBorders>
              <w:top w:val="single" w:sz="8" w:color="EEEEEE"/>
            </w:tcBorders>
            <w:shd w:val="clear" w:color="auto" w:fill="EEEEEE"/>
          </w:tcPr>
          <w:p>
            <w:pPr>
              <w:spacing w:after="0"/>
              <w:rPr>
                <w:sz w:val="18"/>
                <w:szCs w:val="18"/>
                <w:color w:val="auto"/>
              </w:rPr>
            </w:pPr>
          </w:p>
        </w:tc>
      </w:tr>
      <w:tr>
        <w:trPr>
          <w:trHeight w:val="216"/>
        </w:trPr>
        <w:tc>
          <w:tcPr>
            <w:tcW w:w="2160" w:type="dxa"/>
            <w:vAlign w:val="bottom"/>
          </w:tcPr>
          <w:p>
            <w:pPr>
              <w:ind w:left="900"/>
              <w:spacing w:after="0"/>
              <w:rPr>
                <w:sz w:val="20"/>
                <w:szCs w:val="20"/>
                <w:color w:val="auto"/>
              </w:rPr>
            </w:pPr>
            <w:r>
              <w:rPr>
                <w:rFonts w:ascii="Times New Roman" w:cs="Times New Roman" w:eastAsia="Times New Roman" w:hAnsi="Times New Roman"/>
                <w:sz w:val="18"/>
                <w:szCs w:val="18"/>
                <w:color w:val="auto"/>
              </w:rPr>
              <w:t>2023</w:t>
            </w:r>
          </w:p>
        </w:tc>
        <w:tc>
          <w:tcPr>
            <w:tcW w:w="220" w:type="dxa"/>
            <w:vAlign w:val="bottom"/>
          </w:tcPr>
          <w:p>
            <w:pPr>
              <w:spacing w:after="0"/>
              <w:rPr>
                <w:sz w:val="18"/>
                <w:szCs w:val="18"/>
                <w:color w:val="auto"/>
              </w:rPr>
            </w:pPr>
          </w:p>
        </w:tc>
        <w:tc>
          <w:tcPr>
            <w:tcW w:w="180" w:type="dxa"/>
            <w:vAlign w:val="bottom"/>
          </w:tcPr>
          <w:p>
            <w:pPr>
              <w:spacing w:after="0"/>
              <w:rPr>
                <w:sz w:val="20"/>
                <w:szCs w:val="20"/>
                <w:color w:val="auto"/>
              </w:rPr>
            </w:pPr>
            <w:r>
              <w:rPr>
                <w:rFonts w:ascii="Times New Roman" w:cs="Times New Roman" w:eastAsia="Times New Roman" w:hAnsi="Times New Roman"/>
                <w:sz w:val="18"/>
                <w:szCs w:val="18"/>
                <w:color w:val="auto"/>
              </w:rPr>
              <w:t>$</w:t>
            </w:r>
          </w:p>
        </w:tc>
        <w:tc>
          <w:tcPr>
            <w:tcW w:w="20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624,348</w:t>
            </w:r>
          </w:p>
        </w:tc>
        <w:tc>
          <w:tcPr>
            <w:tcW w:w="3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06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(38,710)</w:t>
            </w:r>
          </w:p>
        </w:tc>
        <w:tc>
          <w:tcPr>
            <w:tcW w:w="20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9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261,233</w:t>
            </w:r>
          </w:p>
        </w:tc>
        <w:tc>
          <w:tcPr>
            <w:tcW w:w="400" w:type="dxa"/>
            <w:vAlign w:val="bottom"/>
            <w:gridSpan w:val="2"/>
          </w:tcPr>
          <w:p>
            <w:pPr>
              <w:jc w:val="right"/>
              <w:ind w:right="90"/>
              <w:spacing w:after="0"/>
              <w:rPr>
                <w:sz w:val="20"/>
                <w:szCs w:val="20"/>
                <w:color w:val="auto"/>
              </w:rPr>
            </w:pPr>
            <w:r>
              <w:rPr>
                <w:rFonts w:ascii="Times New Roman" w:cs="Times New Roman" w:eastAsia="Times New Roman" w:hAnsi="Times New Roman"/>
                <w:sz w:val="18"/>
                <w:szCs w:val="18"/>
                <w:color w:val="auto"/>
              </w:rPr>
              <w:t>$</w:t>
            </w:r>
          </w:p>
        </w:tc>
        <w:tc>
          <w:tcPr>
            <w:tcW w:w="174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846,871</w:t>
            </w:r>
          </w:p>
        </w:tc>
      </w:tr>
      <w:tr>
        <w:trPr>
          <w:trHeight w:val="216"/>
        </w:trPr>
        <w:tc>
          <w:tcPr>
            <w:tcW w:w="2160" w:type="dxa"/>
            <w:vAlign w:val="bottom"/>
            <w:shd w:val="clear" w:color="auto" w:fill="EEEEEE"/>
          </w:tcPr>
          <w:p>
            <w:pPr>
              <w:ind w:left="900"/>
              <w:spacing w:after="0"/>
              <w:rPr>
                <w:sz w:val="20"/>
                <w:szCs w:val="20"/>
                <w:color w:val="auto"/>
              </w:rPr>
            </w:pPr>
            <w:r>
              <w:rPr>
                <w:rFonts w:ascii="Times New Roman" w:cs="Times New Roman" w:eastAsia="Times New Roman" w:hAnsi="Times New Roman"/>
                <w:sz w:val="18"/>
                <w:szCs w:val="18"/>
                <w:color w:val="auto"/>
              </w:rPr>
              <w:t>2022</w:t>
            </w:r>
          </w:p>
        </w:tc>
        <w:tc>
          <w:tcPr>
            <w:tcW w:w="220" w:type="dxa"/>
            <w:vAlign w:val="bottom"/>
            <w:shd w:val="clear" w:color="auto" w:fill="EEEEEE"/>
          </w:tcPr>
          <w:p>
            <w:pPr>
              <w:spacing w:after="0"/>
              <w:rPr>
                <w:sz w:val="18"/>
                <w:szCs w:val="18"/>
                <w:color w:val="auto"/>
              </w:rPr>
            </w:pPr>
          </w:p>
        </w:tc>
        <w:tc>
          <w:tcPr>
            <w:tcW w:w="18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w:t>
            </w:r>
          </w:p>
        </w:tc>
        <w:tc>
          <w:tcPr>
            <w:tcW w:w="2040" w:type="dxa"/>
            <w:vAlign w:val="bottom"/>
            <w:gridSpan w:val="2"/>
            <w:shd w:val="clear" w:color="auto" w:fill="EEEEEE"/>
          </w:tcPr>
          <w:p>
            <w:pPr>
              <w:jc w:val="right"/>
              <w:ind w:right="180"/>
              <w:spacing w:after="0"/>
              <w:rPr>
                <w:sz w:val="20"/>
                <w:szCs w:val="20"/>
                <w:color w:val="auto"/>
              </w:rPr>
            </w:pPr>
            <w:r>
              <w:rPr>
                <w:rFonts w:ascii="Times New Roman" w:cs="Times New Roman" w:eastAsia="Times New Roman" w:hAnsi="Times New Roman"/>
                <w:sz w:val="18"/>
                <w:szCs w:val="18"/>
                <w:color w:val="auto"/>
              </w:rPr>
              <w:t>827,928</w:t>
            </w:r>
          </w:p>
        </w:tc>
        <w:tc>
          <w:tcPr>
            <w:tcW w:w="34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060" w:type="dxa"/>
            <w:vAlign w:val="bottom"/>
            <w:gridSpan w:val="2"/>
            <w:shd w:val="clear" w:color="auto" w:fill="EEEEEE"/>
          </w:tcPr>
          <w:p>
            <w:pPr>
              <w:jc w:val="right"/>
              <w:ind w:right="260"/>
              <w:spacing w:after="0"/>
              <w:rPr>
                <w:sz w:val="20"/>
                <w:szCs w:val="20"/>
                <w:color w:val="auto"/>
              </w:rPr>
            </w:pPr>
            <w:r>
              <w:rPr>
                <w:rFonts w:ascii="Times New Roman" w:cs="Times New Roman" w:eastAsia="Times New Roman" w:hAnsi="Times New Roman"/>
                <w:sz w:val="18"/>
                <w:szCs w:val="18"/>
                <w:color w:val="auto"/>
              </w:rPr>
              <w:t>(14,178)</w:t>
            </w:r>
          </w:p>
        </w:tc>
        <w:tc>
          <w:tcPr>
            <w:tcW w:w="200" w:type="dxa"/>
            <w:vAlign w:val="bottom"/>
            <w:shd w:val="clear" w:color="auto" w:fill="EEEEEE"/>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90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8"/>
                <w:szCs w:val="18"/>
                <w:color w:val="auto"/>
              </w:rPr>
              <w:t>764,381</w:t>
            </w:r>
          </w:p>
        </w:tc>
        <w:tc>
          <w:tcPr>
            <w:tcW w:w="400" w:type="dxa"/>
            <w:vAlign w:val="bottom"/>
            <w:gridSpan w:val="2"/>
            <w:shd w:val="clear" w:color="auto" w:fill="EEEEEE"/>
          </w:tcPr>
          <w:p>
            <w:pPr>
              <w:jc w:val="right"/>
              <w:ind w:right="90"/>
              <w:spacing w:after="0"/>
              <w:rPr>
                <w:sz w:val="20"/>
                <w:szCs w:val="20"/>
                <w:color w:val="auto"/>
              </w:rPr>
            </w:pPr>
            <w:r>
              <w:rPr>
                <w:rFonts w:ascii="Times New Roman" w:cs="Times New Roman" w:eastAsia="Times New Roman" w:hAnsi="Times New Roman"/>
                <w:sz w:val="18"/>
                <w:szCs w:val="18"/>
                <w:color w:val="auto"/>
              </w:rPr>
              <w:t>$</w:t>
            </w:r>
          </w:p>
        </w:tc>
        <w:tc>
          <w:tcPr>
            <w:tcW w:w="174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1,578,131</w:t>
            </w:r>
          </w:p>
        </w:tc>
      </w:tr>
    </w:tbl>
    <w:p>
      <w:pPr>
        <w:spacing w:after="0" w:line="200" w:lineRule="exact"/>
        <w:rPr>
          <w:sz w:val="20"/>
          <w:szCs w:val="20"/>
          <w:color w:val="auto"/>
        </w:rPr>
      </w:pPr>
    </w:p>
    <w:p>
      <w:pPr>
        <w:spacing w:after="0" w:line="214" w:lineRule="exact"/>
        <w:rPr>
          <w:sz w:val="20"/>
          <w:szCs w:val="20"/>
          <w:color w:val="auto"/>
        </w:rPr>
      </w:pPr>
    </w:p>
    <w:p>
      <w:pPr>
        <w:ind w:firstLine="8"/>
        <w:spacing w:after="0" w:line="282" w:lineRule="auto"/>
        <w:tabs>
          <w:tab w:leader="none" w:pos="320" w:val="left"/>
        </w:tabs>
        <w:numPr>
          <w:ilvl w:val="0"/>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grant date fair value of equity awards represents the sum of the totals of the amounts reported in the “Stock Awards” and “Option Awards” columns in the Summary Executive Compensation Table for the applicable year.</w:t>
      </w:r>
    </w:p>
    <w:p>
      <w:pPr>
        <w:spacing w:after="0" w:line="161" w:lineRule="exact"/>
        <w:rPr>
          <w:rFonts w:ascii="Times New Roman" w:cs="Times New Roman" w:eastAsia="Times New Roman" w:hAnsi="Times New Roman"/>
          <w:sz w:val="18"/>
          <w:szCs w:val="18"/>
          <w:color w:val="auto"/>
        </w:rPr>
      </w:pPr>
    </w:p>
    <w:p>
      <w:pPr>
        <w:ind w:firstLine="8"/>
        <w:spacing w:after="0" w:line="282" w:lineRule="auto"/>
        <w:tabs>
          <w:tab w:leader="none" w:pos="286" w:val="left"/>
        </w:tabs>
        <w:numPr>
          <w:ilvl w:val="0"/>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equity award adjustments for each applicable year include the addition (or subtraction, as applicable) of the following: (i) the year-end fair value of any equity awards granted in the applicable year that are outstanding and</w:t>
      </w:r>
    </w:p>
    <w:p>
      <w:pPr>
        <w:spacing w:after="0" w:line="374"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6"/>
              </w:rPr>
              <w:t>Value of</w:t>
            </w: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Dividends or</w:t>
            </w: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6"/>
              </w:rPr>
              <w:t>Year over</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7"/>
              </w:rPr>
              <w:t>other</w:t>
            </w: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8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8"/>
              </w:rPr>
              <w:t>Year Change</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6"/>
              </w:rPr>
              <w:t>Year over</w:t>
            </w: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8"/>
              </w:rPr>
              <w:t>Fair Value at</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Earnings Paid</w:t>
            </w: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gridSpan w:val="3"/>
          </w:tcPr>
          <w:p>
            <w:pPr>
              <w:ind w:left="20"/>
              <w:spacing w:after="0"/>
              <w:rPr>
                <w:sz w:val="20"/>
                <w:szCs w:val="20"/>
                <w:color w:val="auto"/>
              </w:rPr>
            </w:pPr>
            <w:r>
              <w:rPr>
                <w:rFonts w:ascii="Times New Roman" w:cs="Times New Roman" w:eastAsia="Times New Roman" w:hAnsi="Times New Roman"/>
                <w:sz w:val="18"/>
                <w:szCs w:val="18"/>
                <w:b w:val="1"/>
                <w:bCs w:val="1"/>
                <w:color w:val="auto"/>
              </w:rPr>
              <w:t>Year End Fair</w:t>
            </w:r>
          </w:p>
        </w:tc>
        <w:tc>
          <w:tcPr>
            <w:tcW w:w="120" w:type="dxa"/>
            <w:vAlign w:val="bottom"/>
          </w:tcPr>
          <w:p>
            <w:pPr>
              <w:spacing w:after="0"/>
              <w:rPr>
                <w:sz w:val="18"/>
                <w:szCs w:val="18"/>
                <w:color w:val="auto"/>
              </w:rPr>
            </w:pPr>
          </w:p>
        </w:tc>
        <w:tc>
          <w:tcPr>
            <w:tcW w:w="128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7"/>
              </w:rPr>
              <w:t>in Fair Value</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6"/>
              </w:rPr>
              <w:t>Year Change</w:t>
            </w: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9"/>
              </w:rPr>
              <w:t>the End of the</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9"/>
              </w:rPr>
              <w:t>on Stock or</w:t>
            </w: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4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6"/>
              </w:rPr>
              <w:t>Value of</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rPr>
              <w:t>of</w:t>
            </w:r>
          </w:p>
        </w:tc>
        <w:tc>
          <w:tcPr>
            <w:tcW w:w="100" w:type="dxa"/>
            <w:vAlign w:val="bottom"/>
          </w:tcPr>
          <w:p>
            <w:pPr>
              <w:spacing w:after="0"/>
              <w:rPr>
                <w:sz w:val="18"/>
                <w:szCs w:val="18"/>
                <w:color w:val="auto"/>
              </w:rPr>
            </w:pPr>
          </w:p>
        </w:tc>
        <w:tc>
          <w:tcPr>
            <w:tcW w:w="1360" w:type="dxa"/>
            <w:vAlign w:val="bottom"/>
            <w:gridSpan w:val="3"/>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7"/>
              </w:rPr>
              <w:t>Fair Value as</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in Fair Value</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Prior Year of</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Option</w:t>
            </w: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gridSpan w:val="3"/>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9"/>
              </w:rPr>
              <w:t>Outstanding</w:t>
            </w:r>
          </w:p>
        </w:tc>
        <w:tc>
          <w:tcPr>
            <w:tcW w:w="120" w:type="dxa"/>
            <w:vAlign w:val="bottom"/>
          </w:tcPr>
          <w:p>
            <w:pPr>
              <w:spacing w:after="0"/>
              <w:rPr>
                <w:sz w:val="18"/>
                <w:szCs w:val="18"/>
                <w:color w:val="auto"/>
              </w:rPr>
            </w:pPr>
          </w:p>
        </w:tc>
        <w:tc>
          <w:tcPr>
            <w:tcW w:w="128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Outstanding</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20" w:type="dxa"/>
            <w:vAlign w:val="bottom"/>
            <w:gridSpan w:val="2"/>
          </w:tcPr>
          <w:p>
            <w:pPr>
              <w:jc w:val="center"/>
              <w:ind w:right="380"/>
              <w:spacing w:after="0"/>
              <w:rPr>
                <w:sz w:val="20"/>
                <w:szCs w:val="20"/>
                <w:color w:val="auto"/>
              </w:rPr>
            </w:pPr>
            <w:r>
              <w:rPr>
                <w:rFonts w:ascii="Times New Roman" w:cs="Times New Roman" w:eastAsia="Times New Roman" w:hAnsi="Times New Roman"/>
                <w:sz w:val="18"/>
                <w:szCs w:val="18"/>
                <w:b w:val="1"/>
                <w:bCs w:val="1"/>
                <w:color w:val="auto"/>
                <w:w w:val="98"/>
              </w:rPr>
              <w:t>of Vesting</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7"/>
              </w:rPr>
              <w:t>of Equity</w:t>
            </w:r>
          </w:p>
        </w:tc>
        <w:tc>
          <w:tcPr>
            <w:tcW w:w="160" w:type="dxa"/>
            <w:vAlign w:val="bottom"/>
          </w:tcPr>
          <w:p>
            <w:pPr>
              <w:spacing w:after="0"/>
              <w:rPr>
                <w:sz w:val="18"/>
                <w:szCs w:val="18"/>
                <w:color w:val="auto"/>
              </w:rPr>
            </w:pPr>
          </w:p>
        </w:tc>
        <w:tc>
          <w:tcPr>
            <w:tcW w:w="1160" w:type="dxa"/>
            <w:vAlign w:val="bottom"/>
            <w:gridSpan w:val="2"/>
          </w:tcPr>
          <w:p>
            <w:pPr>
              <w:jc w:val="center"/>
              <w:ind w:right="360"/>
              <w:spacing w:after="0"/>
              <w:rPr>
                <w:sz w:val="20"/>
                <w:szCs w:val="20"/>
                <w:color w:val="auto"/>
              </w:rPr>
            </w:pPr>
            <w:r>
              <w:rPr>
                <w:rFonts w:ascii="Times New Roman" w:cs="Times New Roman" w:eastAsia="Times New Roman" w:hAnsi="Times New Roman"/>
                <w:sz w:val="18"/>
                <w:szCs w:val="18"/>
                <w:b w:val="1"/>
                <w:bCs w:val="1"/>
                <w:color w:val="auto"/>
                <w:w w:val="99"/>
              </w:rPr>
              <w:t>Equity</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8"/>
              </w:rPr>
              <w:t>Awards not</w:t>
            </w: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gridSpan w:val="3"/>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9"/>
              </w:rPr>
              <w:t>and Unvested</w:t>
            </w:r>
          </w:p>
        </w:tc>
        <w:tc>
          <w:tcPr>
            <w:tcW w:w="120" w:type="dxa"/>
            <w:vAlign w:val="bottom"/>
          </w:tcPr>
          <w:p>
            <w:pPr>
              <w:spacing w:after="0"/>
              <w:rPr>
                <w:sz w:val="18"/>
                <w:szCs w:val="18"/>
                <w:color w:val="auto"/>
              </w:rPr>
            </w:pPr>
          </w:p>
        </w:tc>
        <w:tc>
          <w:tcPr>
            <w:tcW w:w="128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and Unvested</w:t>
            </w:r>
          </w:p>
        </w:tc>
        <w:tc>
          <w:tcPr>
            <w:tcW w:w="100" w:type="dxa"/>
            <w:vAlign w:val="bottom"/>
          </w:tcPr>
          <w:p>
            <w:pPr>
              <w:spacing w:after="0"/>
              <w:rPr>
                <w:sz w:val="18"/>
                <w:szCs w:val="18"/>
                <w:color w:val="auto"/>
              </w:rPr>
            </w:pPr>
          </w:p>
        </w:tc>
        <w:tc>
          <w:tcPr>
            <w:tcW w:w="1360" w:type="dxa"/>
            <w:vAlign w:val="bottom"/>
            <w:gridSpan w:val="3"/>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Date of Equity</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6"/>
              </w:rPr>
              <w:t>Awards</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Awards that</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rPr>
              <w:t>Otherwise</w:t>
            </w: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4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9"/>
              </w:rPr>
              <w:t>Equity</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9"/>
              </w:rPr>
              <w:t>Equity</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20" w:type="dxa"/>
            <w:vAlign w:val="bottom"/>
            <w:gridSpan w:val="2"/>
          </w:tcPr>
          <w:p>
            <w:pPr>
              <w:jc w:val="center"/>
              <w:ind w:right="380"/>
              <w:spacing w:after="0"/>
              <w:rPr>
                <w:sz w:val="20"/>
                <w:szCs w:val="20"/>
                <w:color w:val="auto"/>
              </w:rPr>
            </w:pPr>
            <w:r>
              <w:rPr>
                <w:rFonts w:ascii="Times New Roman" w:cs="Times New Roman" w:eastAsia="Times New Roman" w:hAnsi="Times New Roman"/>
                <w:sz w:val="18"/>
                <w:szCs w:val="18"/>
                <w:b w:val="1"/>
                <w:bCs w:val="1"/>
                <w:color w:val="auto"/>
                <w:w w:val="99"/>
              </w:rPr>
              <w:t>Awards</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rPr>
              <w:t>Granted in</w:t>
            </w:r>
          </w:p>
        </w:tc>
        <w:tc>
          <w:tcPr>
            <w:tcW w:w="160" w:type="dxa"/>
            <w:vAlign w:val="bottom"/>
          </w:tcPr>
          <w:p>
            <w:pPr>
              <w:spacing w:after="0"/>
              <w:rPr>
                <w:sz w:val="18"/>
                <w:szCs w:val="18"/>
                <w:color w:val="auto"/>
              </w:rPr>
            </w:pPr>
          </w:p>
        </w:tc>
        <w:tc>
          <w:tcPr>
            <w:tcW w:w="1160" w:type="dxa"/>
            <w:vAlign w:val="bottom"/>
            <w:gridSpan w:val="2"/>
          </w:tcPr>
          <w:p>
            <w:pPr>
              <w:jc w:val="center"/>
              <w:ind w:right="380"/>
              <w:spacing w:after="0"/>
              <w:rPr>
                <w:sz w:val="20"/>
                <w:szCs w:val="20"/>
                <w:color w:val="auto"/>
              </w:rPr>
            </w:pPr>
            <w:r>
              <w:rPr>
                <w:rFonts w:ascii="Times New Roman" w:cs="Times New Roman" w:eastAsia="Times New Roman" w:hAnsi="Times New Roman"/>
                <w:sz w:val="18"/>
                <w:szCs w:val="18"/>
                <w:b w:val="1"/>
                <w:bCs w:val="1"/>
                <w:color w:val="auto"/>
                <w:w w:val="97"/>
              </w:rPr>
              <w:t>Failed to</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rPr>
              <w:t>Reflected in</w:t>
            </w: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4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6"/>
              </w:rPr>
              <w:t>Awards</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9"/>
              </w:rPr>
              <w:t>Awards</w:t>
            </w:r>
          </w:p>
        </w:tc>
        <w:tc>
          <w:tcPr>
            <w:tcW w:w="100" w:type="dxa"/>
            <w:vAlign w:val="bottom"/>
          </w:tcPr>
          <w:p>
            <w:pPr>
              <w:spacing w:after="0"/>
              <w:rPr>
                <w:sz w:val="18"/>
                <w:szCs w:val="18"/>
                <w:color w:val="auto"/>
              </w:rPr>
            </w:pPr>
          </w:p>
        </w:tc>
        <w:tc>
          <w:tcPr>
            <w:tcW w:w="1360" w:type="dxa"/>
            <w:vAlign w:val="bottom"/>
            <w:gridSpan w:val="3"/>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rPr>
              <w:t>Granted and</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Prior Years</w:t>
            </w: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8"/>
              </w:rPr>
              <w:t>Meet Vesting</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Fair Value or</w:t>
            </w:r>
          </w:p>
        </w:tc>
        <w:tc>
          <w:tcPr>
            <w:tcW w:w="122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Total Equity</w:t>
            </w: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4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9"/>
              </w:rPr>
              <w:t>Granted in</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9"/>
              </w:rPr>
              <w:t>Granted in</w:t>
            </w:r>
          </w:p>
        </w:tc>
        <w:tc>
          <w:tcPr>
            <w:tcW w:w="100" w:type="dxa"/>
            <w:vAlign w:val="bottom"/>
          </w:tcPr>
          <w:p>
            <w:pPr>
              <w:spacing w:after="0"/>
              <w:rPr>
                <w:sz w:val="18"/>
                <w:szCs w:val="18"/>
                <w:color w:val="auto"/>
              </w:rPr>
            </w:pPr>
          </w:p>
        </w:tc>
        <w:tc>
          <w:tcPr>
            <w:tcW w:w="1360" w:type="dxa"/>
            <w:vAlign w:val="bottom"/>
            <w:gridSpan w:val="3"/>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Vested in the</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that Vested in</w:t>
            </w: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Conditions in</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7"/>
              </w:rPr>
              <w:t>Total</w:t>
            </w:r>
          </w:p>
        </w:tc>
        <w:tc>
          <w:tcPr>
            <w:tcW w:w="200" w:type="dxa"/>
            <w:vAlign w:val="bottom"/>
          </w:tcPr>
          <w:p>
            <w:pPr>
              <w:spacing w:after="0"/>
              <w:rPr>
                <w:sz w:val="18"/>
                <w:szCs w:val="18"/>
                <w:color w:val="auto"/>
              </w:rPr>
            </w:pPr>
          </w:p>
        </w:tc>
        <w:tc>
          <w:tcPr>
            <w:tcW w:w="10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8"/>
              </w:rPr>
              <w:t>Award</w:t>
            </w:r>
          </w:p>
        </w:tc>
      </w:tr>
      <w:tr>
        <w:trPr>
          <w:trHeight w:val="238"/>
        </w:trPr>
        <w:tc>
          <w:tcPr>
            <w:tcW w:w="1820" w:type="dxa"/>
            <w:vAlign w:val="bottom"/>
          </w:tcPr>
          <w:p>
            <w:pPr>
              <w:ind w:left="740"/>
              <w:spacing w:after="0"/>
              <w:rPr>
                <w:sz w:val="20"/>
                <w:szCs w:val="20"/>
                <w:color w:val="auto"/>
              </w:rPr>
            </w:pPr>
            <w:r>
              <w:rPr>
                <w:rFonts w:ascii="Times New Roman" w:cs="Times New Roman" w:eastAsia="Times New Roman" w:hAnsi="Times New Roman"/>
                <w:sz w:val="18"/>
                <w:szCs w:val="18"/>
                <w:b w:val="1"/>
                <w:bCs w:val="1"/>
                <w:color w:val="auto"/>
              </w:rPr>
              <w:t>Year</w:t>
            </w: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4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4"/>
              </w:rPr>
              <w:t>Year</w:t>
            </w: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8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7"/>
              </w:rPr>
              <w:t>Prior Years</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20" w:type="dxa"/>
            <w:vAlign w:val="bottom"/>
            <w:gridSpan w:val="2"/>
          </w:tcPr>
          <w:p>
            <w:pPr>
              <w:jc w:val="center"/>
              <w:ind w:right="380"/>
              <w:spacing w:after="0"/>
              <w:rPr>
                <w:sz w:val="20"/>
                <w:szCs w:val="20"/>
                <w:color w:val="auto"/>
              </w:rPr>
            </w:pPr>
            <w:r>
              <w:rPr>
                <w:rFonts w:ascii="Times New Roman" w:cs="Times New Roman" w:eastAsia="Times New Roman" w:hAnsi="Times New Roman"/>
                <w:sz w:val="18"/>
                <w:szCs w:val="18"/>
                <w:b w:val="1"/>
                <w:bCs w:val="1"/>
                <w:color w:val="auto"/>
                <w:w w:val="94"/>
              </w:rPr>
              <w:t>Year</w:t>
            </w:r>
          </w:p>
        </w:tc>
        <w:tc>
          <w:tcPr>
            <w:tcW w:w="100" w:type="dxa"/>
            <w:vAlign w:val="bottom"/>
          </w:tcPr>
          <w:p>
            <w:pPr>
              <w:spacing w:after="0"/>
              <w:rPr>
                <w:sz w:val="20"/>
                <w:szCs w:val="20"/>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the Year</w:t>
            </w:r>
          </w:p>
        </w:tc>
        <w:tc>
          <w:tcPr>
            <w:tcW w:w="160" w:type="dxa"/>
            <w:vAlign w:val="bottom"/>
          </w:tcPr>
          <w:p>
            <w:pPr>
              <w:spacing w:after="0"/>
              <w:rPr>
                <w:sz w:val="20"/>
                <w:szCs w:val="20"/>
                <w:color w:val="auto"/>
              </w:rPr>
            </w:pPr>
          </w:p>
        </w:tc>
        <w:tc>
          <w:tcPr>
            <w:tcW w:w="1160" w:type="dxa"/>
            <w:vAlign w:val="bottom"/>
            <w:gridSpan w:val="2"/>
          </w:tcPr>
          <w:p>
            <w:pPr>
              <w:jc w:val="center"/>
              <w:ind w:right="360"/>
              <w:spacing w:after="0"/>
              <w:rPr>
                <w:sz w:val="20"/>
                <w:szCs w:val="20"/>
                <w:color w:val="auto"/>
              </w:rPr>
            </w:pPr>
            <w:r>
              <w:rPr>
                <w:rFonts w:ascii="Times New Roman" w:cs="Times New Roman" w:eastAsia="Times New Roman" w:hAnsi="Times New Roman"/>
                <w:sz w:val="18"/>
                <w:szCs w:val="18"/>
                <w:b w:val="1"/>
                <w:bCs w:val="1"/>
                <w:color w:val="auto"/>
                <w:w w:val="96"/>
              </w:rPr>
              <w:t>the Year</w:t>
            </w: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Compensation</w:t>
            </w:r>
          </w:p>
        </w:tc>
        <w:tc>
          <w:tcPr>
            <w:tcW w:w="1220" w:type="dxa"/>
            <w:vAlign w:val="bottom"/>
            <w:gridSpan w:val="3"/>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Adjustments</w:t>
            </w:r>
          </w:p>
        </w:tc>
      </w:tr>
      <w:tr>
        <w:trPr>
          <w:trHeight w:val="209"/>
        </w:trPr>
        <w:tc>
          <w:tcPr>
            <w:tcW w:w="1820" w:type="dxa"/>
            <w:vAlign w:val="bottom"/>
            <w:tcBorders>
              <w:top w:val="single" w:sz="8" w:color="auto"/>
            </w:tcBorders>
            <w:shd w:val="clear" w:color="auto" w:fill="EEEEEE"/>
          </w:tcPr>
          <w:p>
            <w:pPr>
              <w:ind w:left="740"/>
              <w:spacing w:after="0"/>
              <w:rPr>
                <w:sz w:val="20"/>
                <w:szCs w:val="20"/>
                <w:color w:val="auto"/>
              </w:rPr>
            </w:pPr>
            <w:r>
              <w:rPr>
                <w:rFonts w:ascii="Times New Roman" w:cs="Times New Roman" w:eastAsia="Times New Roman" w:hAnsi="Times New Roman"/>
                <w:sz w:val="18"/>
                <w:szCs w:val="18"/>
                <w:color w:val="auto"/>
              </w:rPr>
              <w:t>2024</w:t>
            </w:r>
          </w:p>
        </w:tc>
        <w:tc>
          <w:tcPr>
            <w:tcW w:w="120" w:type="dxa"/>
            <w:vAlign w:val="bottom"/>
            <w:tcBorders>
              <w:top w:val="single" w:sz="8" w:color="EEEEEE"/>
            </w:tcBorders>
            <w:shd w:val="clear" w:color="auto" w:fill="EEEEEE"/>
          </w:tcPr>
          <w:p>
            <w:pPr>
              <w:spacing w:after="0"/>
              <w:rPr>
                <w:sz w:val="18"/>
                <w:szCs w:val="18"/>
                <w:color w:val="auto"/>
              </w:rPr>
            </w:pPr>
          </w:p>
        </w:tc>
        <w:tc>
          <w:tcPr>
            <w:tcW w:w="12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62</w:t>
            </w:r>
          </w:p>
        </w:tc>
        <w:tc>
          <w:tcPr>
            <w:tcW w:w="120" w:type="dxa"/>
            <w:vAlign w:val="bottom"/>
            <w:tcBorders>
              <w:top w:val="single" w:sz="8" w:color="EEEEEE"/>
            </w:tcBorders>
            <w:shd w:val="clear" w:color="auto" w:fill="EEEEEE"/>
          </w:tcPr>
          <w:p>
            <w:pPr>
              <w:spacing w:after="0"/>
              <w:rPr>
                <w:sz w:val="18"/>
                <w:szCs w:val="18"/>
                <w:color w:val="auto"/>
              </w:rPr>
            </w:pPr>
          </w:p>
        </w:tc>
        <w:tc>
          <w:tcPr>
            <w:tcW w:w="12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0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(123,551)</w:t>
            </w:r>
          </w:p>
        </w:tc>
        <w:tc>
          <w:tcPr>
            <w:tcW w:w="16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EEEEEE"/>
            </w:tcBorders>
            <w:shd w:val="clear" w:color="auto" w:fill="EEEEEE"/>
          </w:tcPr>
          <w:p>
            <w:pPr>
              <w:spacing w:after="0"/>
              <w:rPr>
                <w:sz w:val="18"/>
                <w:szCs w:val="18"/>
                <w:color w:val="auto"/>
              </w:rPr>
            </w:pPr>
          </w:p>
        </w:tc>
        <w:tc>
          <w:tcPr>
            <w:tcW w:w="14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9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4,635</w:t>
            </w:r>
          </w:p>
        </w:tc>
        <w:tc>
          <w:tcPr>
            <w:tcW w:w="24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0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(14,287)</w:t>
            </w:r>
          </w:p>
        </w:tc>
        <w:tc>
          <w:tcPr>
            <w:tcW w:w="220" w:type="dxa"/>
            <w:vAlign w:val="bottom"/>
            <w:tcBorders>
              <w:top w:val="single" w:sz="8" w:color="EEEEEE"/>
            </w:tcBorders>
            <w:shd w:val="clear" w:color="auto" w:fill="EEEEEE"/>
          </w:tcPr>
          <w:p>
            <w:pPr>
              <w:spacing w:after="0"/>
              <w:rPr>
                <w:sz w:val="18"/>
                <w:szCs w:val="18"/>
                <w:color w:val="auto"/>
              </w:rPr>
            </w:pPr>
          </w:p>
        </w:tc>
        <w:tc>
          <w:tcPr>
            <w:tcW w:w="16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940" w:type="dxa"/>
            <w:vAlign w:val="bottom"/>
            <w:tcBorders>
              <w:top w:val="single" w:sz="8" w:color="auto"/>
            </w:tcBorders>
            <w:shd w:val="clear" w:color="auto" w:fill="EEEEEE"/>
          </w:tcPr>
          <w:p>
            <w:pPr>
              <w:ind w:left="860"/>
              <w:spacing w:after="0"/>
              <w:rPr>
                <w:sz w:val="20"/>
                <w:szCs w:val="20"/>
                <w:color w:val="auto"/>
              </w:rPr>
            </w:pPr>
            <w:r>
              <w:rPr>
                <w:rFonts w:ascii="Times New Roman" w:cs="Times New Roman" w:eastAsia="Times New Roman" w:hAnsi="Times New Roman"/>
                <w:sz w:val="17"/>
                <w:szCs w:val="17"/>
                <w:color w:val="auto"/>
                <w:w w:val="70"/>
              </w:rPr>
              <w:t>–</w:t>
            </w:r>
          </w:p>
        </w:tc>
        <w:tc>
          <w:tcPr>
            <w:tcW w:w="22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000" w:type="dxa"/>
            <w:vAlign w:val="bottom"/>
            <w:tcBorders>
              <w:top w:val="single" w:sz="8" w:color="auto"/>
            </w:tcBorders>
            <w:shd w:val="clear" w:color="auto" w:fill="EEEEEE"/>
          </w:tcPr>
          <w:p>
            <w:pPr>
              <w:ind w:left="920"/>
              <w:spacing w:after="0"/>
              <w:rPr>
                <w:sz w:val="20"/>
                <w:szCs w:val="20"/>
                <w:color w:val="auto"/>
              </w:rPr>
            </w:pPr>
            <w:r>
              <w:rPr>
                <w:rFonts w:ascii="Times New Roman" w:cs="Times New Roman" w:eastAsia="Times New Roman" w:hAnsi="Times New Roman"/>
                <w:sz w:val="17"/>
                <w:szCs w:val="17"/>
                <w:color w:val="auto"/>
                <w:w w:val="70"/>
              </w:rPr>
              <w:t>–</w:t>
            </w:r>
          </w:p>
        </w:tc>
        <w:tc>
          <w:tcPr>
            <w:tcW w:w="220" w:type="dxa"/>
            <w:vAlign w:val="bottom"/>
            <w:tcBorders>
              <w:top w:val="single" w:sz="8" w:color="EEEEEE"/>
            </w:tcBorders>
            <w:shd w:val="clear" w:color="auto" w:fill="EEEEEE"/>
          </w:tcPr>
          <w:p>
            <w:pPr>
              <w:spacing w:after="0"/>
              <w:rPr>
                <w:sz w:val="18"/>
                <w:szCs w:val="18"/>
                <w:color w:val="auto"/>
              </w:rPr>
            </w:pPr>
          </w:p>
        </w:tc>
        <w:tc>
          <w:tcPr>
            <w:tcW w:w="200" w:type="dxa"/>
            <w:vAlign w:val="bottom"/>
            <w:tcBorders>
              <w:top w:val="single" w:sz="8" w:color="auto"/>
            </w:tcBorders>
            <w:shd w:val="clear" w:color="auto" w:fill="EEEEEE"/>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9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(133,141)</w:t>
            </w:r>
          </w:p>
        </w:tc>
        <w:tc>
          <w:tcPr>
            <w:tcW w:w="100" w:type="dxa"/>
            <w:vAlign w:val="bottom"/>
            <w:tcBorders>
              <w:top w:val="single" w:sz="8" w:color="EEEEEE"/>
            </w:tcBorders>
            <w:shd w:val="clear" w:color="auto" w:fill="EEEEEE"/>
          </w:tcPr>
          <w:p>
            <w:pPr>
              <w:spacing w:after="0"/>
              <w:rPr>
                <w:sz w:val="18"/>
                <w:szCs w:val="18"/>
                <w:color w:val="auto"/>
              </w:rPr>
            </w:pPr>
          </w:p>
        </w:tc>
      </w:tr>
      <w:tr>
        <w:trPr>
          <w:trHeight w:val="216"/>
        </w:trPr>
        <w:tc>
          <w:tcPr>
            <w:tcW w:w="1820" w:type="dxa"/>
            <w:vAlign w:val="bottom"/>
          </w:tcPr>
          <w:p>
            <w:pPr>
              <w:ind w:left="740"/>
              <w:spacing w:after="0"/>
              <w:rPr>
                <w:sz w:val="20"/>
                <w:szCs w:val="20"/>
                <w:color w:val="auto"/>
              </w:rPr>
            </w:pPr>
            <w:r>
              <w:rPr>
                <w:rFonts w:ascii="Times New Roman" w:cs="Times New Roman" w:eastAsia="Times New Roman" w:hAnsi="Times New Roman"/>
                <w:sz w:val="18"/>
                <w:szCs w:val="18"/>
                <w:color w:val="auto"/>
              </w:rPr>
              <w:t>2023</w:t>
            </w:r>
          </w:p>
        </w:tc>
        <w:tc>
          <w:tcPr>
            <w:tcW w:w="240" w:type="dxa"/>
            <w:vAlign w:val="bottom"/>
            <w:gridSpan w:val="2"/>
          </w:tcPr>
          <w:p>
            <w:pPr>
              <w:ind w:left="12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163,434</w:t>
            </w:r>
          </w:p>
        </w:tc>
        <w:tc>
          <w:tcPr>
            <w:tcW w:w="2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8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5,992</w:t>
            </w:r>
          </w:p>
        </w:tc>
        <w:tc>
          <w:tcPr>
            <w:tcW w:w="2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tcPr>
          <w:p>
            <w:pPr>
              <w:jc w:val="right"/>
              <w:ind w:right="240"/>
              <w:spacing w:after="0"/>
              <w:rPr>
                <w:sz w:val="20"/>
                <w:szCs w:val="20"/>
                <w:color w:val="auto"/>
              </w:rPr>
            </w:pPr>
            <w:r>
              <w:rPr>
                <w:rFonts w:ascii="Times New Roman" w:cs="Times New Roman" w:eastAsia="Times New Roman" w:hAnsi="Times New Roman"/>
                <w:sz w:val="18"/>
                <w:szCs w:val="18"/>
                <w:color w:val="auto"/>
              </w:rPr>
              <w:t>17,469</w:t>
            </w:r>
          </w:p>
        </w:tc>
        <w:tc>
          <w:tcPr>
            <w:tcW w:w="100" w:type="dxa"/>
            <w:vAlign w:val="bottom"/>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74,338</w:t>
            </w:r>
          </w:p>
        </w:tc>
        <w:tc>
          <w:tcPr>
            <w:tcW w:w="160" w:type="dxa"/>
            <w:vAlign w:val="bottom"/>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160" w:type="dxa"/>
            <w:vAlign w:val="bottom"/>
            <w:gridSpan w:val="2"/>
          </w:tcPr>
          <w:p>
            <w:pPr>
              <w:ind w:left="86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gridSpan w:val="2"/>
          </w:tcPr>
          <w:p>
            <w:pPr>
              <w:ind w:left="920"/>
              <w:spacing w:after="0"/>
              <w:rPr>
                <w:sz w:val="20"/>
                <w:szCs w:val="20"/>
                <w:color w:val="auto"/>
              </w:rPr>
            </w:pPr>
            <w:r>
              <w:rPr>
                <w:rFonts w:ascii="Times New Roman" w:cs="Times New Roman" w:eastAsia="Times New Roman" w:hAnsi="Times New Roman"/>
                <w:sz w:val="18"/>
                <w:szCs w:val="18"/>
                <w:color w:val="auto"/>
              </w:rPr>
              <w:t>–</w:t>
            </w:r>
          </w:p>
        </w:tc>
        <w:tc>
          <w:tcPr>
            <w:tcW w:w="200" w:type="dxa"/>
            <w:vAlign w:val="bottom"/>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0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261,233</w:t>
            </w:r>
          </w:p>
        </w:tc>
      </w:tr>
      <w:tr>
        <w:trPr>
          <w:trHeight w:val="216"/>
        </w:trPr>
        <w:tc>
          <w:tcPr>
            <w:tcW w:w="1820" w:type="dxa"/>
            <w:vAlign w:val="bottom"/>
            <w:shd w:val="clear" w:color="auto" w:fill="EEEEEE"/>
          </w:tcPr>
          <w:p>
            <w:pPr>
              <w:ind w:left="740"/>
              <w:spacing w:after="0"/>
              <w:rPr>
                <w:sz w:val="20"/>
                <w:szCs w:val="20"/>
                <w:color w:val="auto"/>
              </w:rPr>
            </w:pPr>
            <w:r>
              <w:rPr>
                <w:rFonts w:ascii="Times New Roman" w:cs="Times New Roman" w:eastAsia="Times New Roman" w:hAnsi="Times New Roman"/>
                <w:sz w:val="18"/>
                <w:szCs w:val="18"/>
                <w:color w:val="auto"/>
              </w:rPr>
              <w:t>2022</w:t>
            </w:r>
          </w:p>
        </w:tc>
        <w:tc>
          <w:tcPr>
            <w:tcW w:w="240" w:type="dxa"/>
            <w:vAlign w:val="bottom"/>
            <w:gridSpan w:val="2"/>
            <w:shd w:val="clear" w:color="auto" w:fill="EEEEEE"/>
          </w:tcPr>
          <w:p>
            <w:pPr>
              <w:ind w:left="12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8"/>
                <w:szCs w:val="18"/>
                <w:color w:val="auto"/>
              </w:rPr>
              <w:t>173,165</w:t>
            </w:r>
          </w:p>
        </w:tc>
        <w:tc>
          <w:tcPr>
            <w:tcW w:w="2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(244,227)</w:t>
            </w:r>
          </w:p>
        </w:tc>
        <w:tc>
          <w:tcPr>
            <w:tcW w:w="24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shd w:val="clear" w:color="auto" w:fill="EEEEEE"/>
          </w:tcPr>
          <w:p>
            <w:pPr>
              <w:jc w:val="right"/>
              <w:ind w:right="240"/>
              <w:spacing w:after="0"/>
              <w:rPr>
                <w:sz w:val="20"/>
                <w:szCs w:val="20"/>
                <w:color w:val="auto"/>
              </w:rPr>
            </w:pPr>
            <w:r>
              <w:rPr>
                <w:rFonts w:ascii="Times New Roman" w:cs="Times New Roman" w:eastAsia="Times New Roman" w:hAnsi="Times New Roman"/>
                <w:sz w:val="18"/>
                <w:szCs w:val="18"/>
                <w:color w:val="auto"/>
              </w:rPr>
              <w:t>4,635</w:t>
            </w:r>
          </w:p>
        </w:tc>
        <w:tc>
          <w:tcPr>
            <w:tcW w:w="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220" w:type="dxa"/>
            <w:vAlign w:val="bottom"/>
            <w:gridSpan w:val="2"/>
            <w:shd w:val="clear" w:color="auto" w:fill="EEEEEE"/>
          </w:tcPr>
          <w:p>
            <w:pPr>
              <w:jc w:val="right"/>
              <w:ind w:right="220"/>
              <w:spacing w:after="0"/>
              <w:rPr>
                <w:sz w:val="20"/>
                <w:szCs w:val="20"/>
                <w:color w:val="auto"/>
              </w:rPr>
            </w:pPr>
            <w:r>
              <w:rPr>
                <w:rFonts w:ascii="Times New Roman" w:cs="Times New Roman" w:eastAsia="Times New Roman" w:hAnsi="Times New Roman"/>
                <w:sz w:val="18"/>
                <w:szCs w:val="18"/>
                <w:color w:val="auto"/>
              </w:rPr>
              <w:t>738,938</w:t>
            </w:r>
          </w:p>
        </w:tc>
        <w:tc>
          <w:tcPr>
            <w:tcW w:w="16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160" w:type="dxa"/>
            <w:vAlign w:val="bottom"/>
            <w:gridSpan w:val="2"/>
            <w:shd w:val="clear" w:color="auto" w:fill="EEEEEE"/>
          </w:tcPr>
          <w:p>
            <w:pPr>
              <w:ind w:left="86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gridSpan w:val="2"/>
            <w:shd w:val="clear" w:color="auto" w:fill="EEEEEE"/>
          </w:tcPr>
          <w:p>
            <w:pPr>
              <w:ind w:left="920"/>
              <w:spacing w:after="0"/>
              <w:rPr>
                <w:sz w:val="20"/>
                <w:szCs w:val="20"/>
                <w:color w:val="auto"/>
              </w:rPr>
            </w:pPr>
            <w:r>
              <w:rPr>
                <w:rFonts w:ascii="Times New Roman" w:cs="Times New Roman" w:eastAsia="Times New Roman" w:hAnsi="Times New Roman"/>
                <w:sz w:val="18"/>
                <w:szCs w:val="18"/>
                <w:color w:val="auto"/>
              </w:rPr>
              <w:t>–</w:t>
            </w:r>
          </w:p>
        </w:tc>
        <w:tc>
          <w:tcPr>
            <w:tcW w:w="200" w:type="dxa"/>
            <w:vAlign w:val="bottom"/>
            <w:shd w:val="clear" w:color="auto" w:fill="EEEEEE"/>
          </w:tcPr>
          <w:p>
            <w:pPr>
              <w:jc w:val="right"/>
              <w:ind w:right="10"/>
              <w:spacing w:after="0"/>
              <w:rPr>
                <w:sz w:val="20"/>
                <w:szCs w:val="20"/>
                <w:color w:val="auto"/>
              </w:rPr>
            </w:pPr>
            <w:r>
              <w:rPr>
                <w:rFonts w:ascii="Times New Roman" w:cs="Times New Roman" w:eastAsia="Times New Roman" w:hAnsi="Times New Roman"/>
                <w:sz w:val="18"/>
                <w:szCs w:val="18"/>
                <w:color w:val="auto"/>
                <w:w w:val="88"/>
              </w:rPr>
              <w:t>$</w:t>
            </w:r>
          </w:p>
        </w:tc>
        <w:tc>
          <w:tcPr>
            <w:tcW w:w="102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672,511</w:t>
            </w:r>
          </w:p>
        </w:tc>
      </w:tr>
    </w:tbl>
    <w:p>
      <w:pPr>
        <w:spacing w:after="0" w:line="200" w:lineRule="exact"/>
        <w:rPr>
          <w:sz w:val="20"/>
          <w:szCs w:val="20"/>
          <w:color w:val="auto"/>
        </w:rPr>
      </w:pPr>
    </w:p>
    <w:p>
      <w:pPr>
        <w:spacing w:after="0" w:line="214" w:lineRule="exact"/>
        <w:rPr>
          <w:sz w:val="20"/>
          <w:szCs w:val="20"/>
          <w:color w:val="auto"/>
        </w:rPr>
      </w:pPr>
    </w:p>
    <w:p>
      <w:pPr>
        <w:ind w:firstLine="8"/>
        <w:spacing w:after="0" w:line="282" w:lineRule="auto"/>
        <w:tabs>
          <w:tab w:leader="none" w:pos="261" w:val="left"/>
        </w:tabs>
        <w:numPr>
          <w:ilvl w:val="0"/>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dollar amounts reported in column (d) represent the average of the amounts reported for our company’s Non-PEO NEOs as a group in the “Total” column of the Summary Executive Compensation Table in each applicable year.</w:t>
      </w:r>
    </w:p>
    <w:p>
      <w:pPr>
        <w:spacing w:after="0" w:line="161" w:lineRule="exact"/>
        <w:rPr>
          <w:rFonts w:ascii="Times New Roman" w:cs="Times New Roman" w:eastAsia="Times New Roman" w:hAnsi="Times New Roman"/>
          <w:sz w:val="18"/>
          <w:szCs w:val="18"/>
          <w:color w:val="auto"/>
        </w:rPr>
      </w:pPr>
    </w:p>
    <w:p>
      <w:pPr>
        <w:jc w:val="both"/>
        <w:ind w:firstLine="8"/>
        <w:spacing w:after="0" w:line="258" w:lineRule="auto"/>
        <w:tabs>
          <w:tab w:leader="none" w:pos="284" w:val="left"/>
        </w:tabs>
        <w:numPr>
          <w:ilvl w:val="0"/>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dollar amounts reported in column (e) represent the average amount of “compensation actually paid” to the Non-PEO NEOs as a group, as computed in accordance with the Pay Versus Performance Rules. The dollar amounts do not reflect the actual average amount of compensation earned by or paid to the Non-PEO NEOs as a group during the applicable year. In accordance with the Pay Versus Performance Rules, the following adjustments were made to average total compensation for the Non-PEO NEOs for each year to determine the compensation actually paid, using the same methodology described above in Note (4)(B):</w:t>
      </w:r>
    </w:p>
    <w:p>
      <w:pPr>
        <w:spacing w:after="0" w:line="179"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00" w:type="dxa"/>
            <w:vAlign w:val="bottom"/>
            <w:gridSpan w:val="2"/>
          </w:tcPr>
          <w:p>
            <w:pPr>
              <w:jc w:val="center"/>
              <w:ind w:right="400"/>
              <w:spacing w:after="0"/>
              <w:rPr>
                <w:sz w:val="20"/>
                <w:szCs w:val="20"/>
                <w:color w:val="auto"/>
              </w:rPr>
            </w:pPr>
            <w:r>
              <w:rPr>
                <w:rFonts w:ascii="Times New Roman" w:cs="Times New Roman" w:eastAsia="Times New Roman" w:hAnsi="Times New Roman"/>
                <w:sz w:val="18"/>
                <w:szCs w:val="18"/>
                <w:b w:val="1"/>
                <w:bCs w:val="1"/>
                <w:color w:val="auto"/>
                <w:w w:val="99"/>
              </w:rPr>
              <w:t>Average Reported</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7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20" w:type="dxa"/>
            <w:vAlign w:val="bottom"/>
            <w:gridSpan w:val="3"/>
          </w:tcPr>
          <w:p>
            <w:pPr>
              <w:jc w:val="center"/>
              <w:ind w:right="180"/>
              <w:spacing w:after="0"/>
              <w:rPr>
                <w:sz w:val="20"/>
                <w:szCs w:val="20"/>
                <w:color w:val="auto"/>
              </w:rPr>
            </w:pPr>
            <w:r>
              <w:rPr>
                <w:rFonts w:ascii="Times New Roman" w:cs="Times New Roman" w:eastAsia="Times New Roman" w:hAnsi="Times New Roman"/>
                <w:sz w:val="18"/>
                <w:szCs w:val="18"/>
                <w:b w:val="1"/>
                <w:bCs w:val="1"/>
                <w:color w:val="auto"/>
              </w:rPr>
              <w:t>Summary Compensation</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7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100" w:type="dxa"/>
            <w:vAlign w:val="bottom"/>
            <w:gridSpan w:val="3"/>
            <w:vMerge w:val="restart"/>
          </w:tcPr>
          <w:p>
            <w:pPr>
              <w:jc w:val="right"/>
              <w:ind w:right="280"/>
              <w:spacing w:after="0"/>
              <w:rPr>
                <w:sz w:val="20"/>
                <w:szCs w:val="20"/>
                <w:color w:val="auto"/>
              </w:rPr>
            </w:pPr>
            <w:r>
              <w:rPr>
                <w:rFonts w:ascii="Times New Roman" w:cs="Times New Roman" w:eastAsia="Times New Roman" w:hAnsi="Times New Roman"/>
                <w:sz w:val="18"/>
                <w:szCs w:val="18"/>
                <w:b w:val="1"/>
                <w:bCs w:val="1"/>
                <w:color w:val="auto"/>
              </w:rPr>
              <w:t>Average Equity Award</w:t>
            </w:r>
          </w:p>
        </w:tc>
        <w:tc>
          <w:tcPr>
            <w:tcW w:w="120" w:type="dxa"/>
            <w:vAlign w:val="bottom"/>
          </w:tcPr>
          <w:p>
            <w:pPr>
              <w:spacing w:after="0"/>
              <w:rPr>
                <w:sz w:val="18"/>
                <w:szCs w:val="18"/>
                <w:color w:val="auto"/>
              </w:rPr>
            </w:pPr>
          </w:p>
        </w:tc>
        <w:tc>
          <w:tcPr>
            <w:tcW w:w="202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Average Compensation</w:t>
            </w:r>
          </w:p>
        </w:tc>
        <w:tc>
          <w:tcPr>
            <w:tcW w:w="0" w:type="dxa"/>
            <w:vAlign w:val="bottom"/>
          </w:tcPr>
          <w:p>
            <w:pPr>
              <w:spacing w:after="0"/>
              <w:rPr>
                <w:sz w:val="1"/>
                <w:szCs w:val="1"/>
                <w:color w:val="auto"/>
              </w:rPr>
            </w:pPr>
          </w:p>
        </w:tc>
      </w:tr>
      <w:tr>
        <w:trPr>
          <w:trHeight w:val="184"/>
        </w:trPr>
        <w:tc>
          <w:tcPr>
            <w:tcW w:w="21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220" w:type="dxa"/>
            <w:vAlign w:val="bottom"/>
            <w:gridSpan w:val="3"/>
          </w:tcPr>
          <w:p>
            <w:pPr>
              <w:jc w:val="center"/>
              <w:ind w:right="180"/>
              <w:spacing w:after="0" w:line="184" w:lineRule="exact"/>
              <w:rPr>
                <w:sz w:val="20"/>
                <w:szCs w:val="20"/>
                <w:color w:val="auto"/>
              </w:rPr>
            </w:pPr>
            <w:r>
              <w:rPr>
                <w:rFonts w:ascii="Times New Roman" w:cs="Times New Roman" w:eastAsia="Times New Roman" w:hAnsi="Times New Roman"/>
                <w:sz w:val="18"/>
                <w:szCs w:val="18"/>
                <w:b w:val="1"/>
                <w:bCs w:val="1"/>
                <w:color w:val="auto"/>
                <w:w w:val="97"/>
              </w:rPr>
              <w:t>Table Total for Non-PEO</w:t>
            </w:r>
          </w:p>
        </w:tc>
        <w:tc>
          <w:tcPr>
            <w:tcW w:w="180" w:type="dxa"/>
            <w:vAlign w:val="bottom"/>
          </w:tcPr>
          <w:p>
            <w:pPr>
              <w:spacing w:after="0"/>
              <w:rPr>
                <w:sz w:val="16"/>
                <w:szCs w:val="16"/>
                <w:color w:val="auto"/>
              </w:rPr>
            </w:pPr>
          </w:p>
        </w:tc>
        <w:tc>
          <w:tcPr>
            <w:tcW w:w="2220" w:type="dxa"/>
            <w:vAlign w:val="bottom"/>
            <w:gridSpan w:val="3"/>
          </w:tcPr>
          <w:p>
            <w:pPr>
              <w:ind w:left="20"/>
              <w:spacing w:after="0" w:line="184" w:lineRule="exact"/>
              <w:rPr>
                <w:sz w:val="20"/>
                <w:szCs w:val="20"/>
                <w:color w:val="auto"/>
              </w:rPr>
            </w:pPr>
            <w:r>
              <w:rPr>
                <w:rFonts w:ascii="Times New Roman" w:cs="Times New Roman" w:eastAsia="Times New Roman" w:hAnsi="Times New Roman"/>
                <w:sz w:val="18"/>
                <w:szCs w:val="18"/>
                <w:b w:val="1"/>
                <w:bCs w:val="1"/>
                <w:color w:val="auto"/>
              </w:rPr>
              <w:t>Average Reported Value</w:t>
            </w:r>
          </w:p>
        </w:tc>
        <w:tc>
          <w:tcPr>
            <w:tcW w:w="2100" w:type="dxa"/>
            <w:vAlign w:val="bottom"/>
            <w:gridSpan w:val="3"/>
            <w:vMerge w:val="continue"/>
          </w:tcPr>
          <w:p>
            <w:pPr>
              <w:spacing w:after="0"/>
              <w:rPr>
                <w:sz w:val="16"/>
                <w:szCs w:val="16"/>
                <w:color w:val="auto"/>
              </w:rPr>
            </w:pPr>
          </w:p>
        </w:tc>
        <w:tc>
          <w:tcPr>
            <w:tcW w:w="1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900" w:type="dxa"/>
            <w:vAlign w:val="bottom"/>
            <w:gridSpan w:val="2"/>
          </w:tcPr>
          <w:p>
            <w:pPr>
              <w:jc w:val="center"/>
              <w:ind w:right="220"/>
              <w:spacing w:after="0" w:line="184" w:lineRule="exact"/>
              <w:rPr>
                <w:sz w:val="20"/>
                <w:szCs w:val="20"/>
                <w:color w:val="auto"/>
              </w:rPr>
            </w:pPr>
            <w:r>
              <w:rPr>
                <w:rFonts w:ascii="Times New Roman" w:cs="Times New Roman" w:eastAsia="Times New Roman" w:hAnsi="Times New Roman"/>
                <w:sz w:val="18"/>
                <w:szCs w:val="18"/>
                <w:b w:val="1"/>
                <w:bCs w:val="1"/>
                <w:color w:val="auto"/>
              </w:rPr>
              <w:t>Actually Paid to Non-</w:t>
            </w:r>
          </w:p>
        </w:tc>
        <w:tc>
          <w:tcPr>
            <w:tcW w:w="0" w:type="dxa"/>
            <w:vAlign w:val="bottom"/>
          </w:tcPr>
          <w:p>
            <w:pPr>
              <w:spacing w:after="0"/>
              <w:rPr>
                <w:sz w:val="1"/>
                <w:szCs w:val="1"/>
                <w:color w:val="auto"/>
              </w:rPr>
            </w:pPr>
          </w:p>
        </w:tc>
      </w:tr>
      <w:tr>
        <w:trPr>
          <w:trHeight w:val="270"/>
        </w:trPr>
        <w:tc>
          <w:tcPr>
            <w:tcW w:w="2380" w:type="dxa"/>
            <w:vAlign w:val="bottom"/>
            <w:gridSpan w:val="2"/>
          </w:tcPr>
          <w:p>
            <w:pPr>
              <w:ind w:left="900"/>
              <w:spacing w:after="0"/>
              <w:rPr>
                <w:sz w:val="20"/>
                <w:szCs w:val="20"/>
                <w:color w:val="auto"/>
              </w:rPr>
            </w:pPr>
            <w:r>
              <w:rPr>
                <w:rFonts w:ascii="Times New Roman" w:cs="Times New Roman" w:eastAsia="Times New Roman" w:hAnsi="Times New Roman"/>
                <w:sz w:val="18"/>
                <w:szCs w:val="18"/>
                <w:b w:val="1"/>
                <w:bCs w:val="1"/>
                <w:color w:val="auto"/>
              </w:rPr>
              <w:t>Year</w:t>
            </w:r>
          </w:p>
        </w:tc>
        <w:tc>
          <w:tcPr>
            <w:tcW w:w="220" w:type="dxa"/>
            <w:vAlign w:val="bottom"/>
          </w:tcPr>
          <w:p>
            <w:pPr>
              <w:spacing w:after="0"/>
              <w:rPr>
                <w:sz w:val="23"/>
                <w:szCs w:val="23"/>
                <w:color w:val="auto"/>
              </w:rPr>
            </w:pPr>
          </w:p>
        </w:tc>
        <w:tc>
          <w:tcPr>
            <w:tcW w:w="2000" w:type="dxa"/>
            <w:vAlign w:val="bottom"/>
            <w:gridSpan w:val="2"/>
          </w:tcPr>
          <w:p>
            <w:pPr>
              <w:jc w:val="center"/>
              <w:ind w:right="380"/>
              <w:spacing w:after="0"/>
              <w:rPr>
                <w:sz w:val="20"/>
                <w:szCs w:val="20"/>
                <w:color w:val="auto"/>
              </w:rPr>
            </w:pPr>
            <w:r>
              <w:rPr>
                <w:rFonts w:ascii="Times New Roman" w:cs="Times New Roman" w:eastAsia="Times New Roman" w:hAnsi="Times New Roman"/>
                <w:sz w:val="18"/>
                <w:szCs w:val="18"/>
                <w:b w:val="1"/>
                <w:bCs w:val="1"/>
                <w:color w:val="auto"/>
                <w:w w:val="99"/>
              </w:rPr>
              <w:t>NEOs</w:t>
            </w:r>
          </w:p>
        </w:tc>
        <w:tc>
          <w:tcPr>
            <w:tcW w:w="180" w:type="dxa"/>
            <w:vAlign w:val="bottom"/>
          </w:tcPr>
          <w:p>
            <w:pPr>
              <w:spacing w:after="0"/>
              <w:rPr>
                <w:sz w:val="23"/>
                <w:szCs w:val="23"/>
                <w:color w:val="auto"/>
              </w:rPr>
            </w:pPr>
          </w:p>
        </w:tc>
        <w:tc>
          <w:tcPr>
            <w:tcW w:w="180" w:type="dxa"/>
            <w:vAlign w:val="bottom"/>
          </w:tcPr>
          <w:p>
            <w:pPr>
              <w:spacing w:after="0"/>
              <w:rPr>
                <w:sz w:val="23"/>
                <w:szCs w:val="23"/>
                <w:color w:val="auto"/>
              </w:rPr>
            </w:pPr>
          </w:p>
        </w:tc>
        <w:tc>
          <w:tcPr>
            <w:tcW w:w="2040" w:type="dxa"/>
            <w:vAlign w:val="bottom"/>
            <w:gridSpan w:val="2"/>
          </w:tcPr>
          <w:p>
            <w:pPr>
              <w:jc w:val="right"/>
              <w:ind w:right="600"/>
              <w:spacing w:after="0"/>
              <w:rPr>
                <w:sz w:val="20"/>
                <w:szCs w:val="20"/>
                <w:color w:val="auto"/>
              </w:rPr>
            </w:pPr>
            <w:r>
              <w:rPr>
                <w:rFonts w:ascii="Times New Roman" w:cs="Times New Roman" w:eastAsia="Times New Roman" w:hAnsi="Times New Roman"/>
                <w:sz w:val="18"/>
                <w:szCs w:val="18"/>
                <w:b w:val="1"/>
                <w:bCs w:val="1"/>
                <w:color w:val="auto"/>
              </w:rPr>
              <w:t>of Equity Awards</w:t>
            </w:r>
          </w:p>
        </w:tc>
        <w:tc>
          <w:tcPr>
            <w:tcW w:w="220" w:type="dxa"/>
            <w:vAlign w:val="bottom"/>
          </w:tcPr>
          <w:p>
            <w:pPr>
              <w:spacing w:after="0"/>
              <w:rPr>
                <w:sz w:val="23"/>
                <w:szCs w:val="23"/>
                <w:color w:val="auto"/>
              </w:rPr>
            </w:pPr>
          </w:p>
        </w:tc>
        <w:tc>
          <w:tcPr>
            <w:tcW w:w="1880" w:type="dxa"/>
            <w:vAlign w:val="bottom"/>
            <w:gridSpan w:val="2"/>
          </w:tcPr>
          <w:p>
            <w:pPr>
              <w:jc w:val="right"/>
              <w:ind w:right="540"/>
              <w:spacing w:after="0" w:line="270" w:lineRule="exact"/>
              <w:rPr>
                <w:sz w:val="20"/>
                <w:szCs w:val="20"/>
                <w:color w:val="auto"/>
              </w:rPr>
            </w:pPr>
            <w:r>
              <w:rPr>
                <w:rFonts w:ascii="Times New Roman" w:cs="Times New Roman" w:eastAsia="Times New Roman" w:hAnsi="Times New Roman"/>
                <w:sz w:val="18"/>
                <w:szCs w:val="18"/>
                <w:b w:val="1"/>
                <w:bCs w:val="1"/>
                <w:color w:val="auto"/>
              </w:rPr>
              <w:t xml:space="preserve">Adjustments </w:t>
            </w:r>
            <w:r>
              <w:rPr>
                <w:rFonts w:ascii="Times New Roman" w:cs="Times New Roman" w:eastAsia="Times New Roman" w:hAnsi="Times New Roman"/>
                <w:sz w:val="29"/>
                <w:szCs w:val="29"/>
                <w:b w:val="1"/>
                <w:bCs w:val="1"/>
                <w:color w:val="auto"/>
                <w:vertAlign w:val="superscript"/>
              </w:rPr>
              <w:t>(a)</w:t>
            </w:r>
          </w:p>
        </w:tc>
        <w:tc>
          <w:tcPr>
            <w:tcW w:w="12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9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PEO NEOs</w:t>
            </w:r>
          </w:p>
        </w:tc>
        <w:tc>
          <w:tcPr>
            <w:tcW w:w="0" w:type="dxa"/>
            <w:vAlign w:val="bottom"/>
          </w:tcPr>
          <w:p>
            <w:pPr>
              <w:spacing w:after="0"/>
              <w:rPr>
                <w:sz w:val="1"/>
                <w:szCs w:val="1"/>
                <w:color w:val="auto"/>
              </w:rPr>
            </w:pPr>
          </w:p>
        </w:tc>
      </w:tr>
      <w:tr>
        <w:trPr>
          <w:trHeight w:val="210"/>
        </w:trPr>
        <w:tc>
          <w:tcPr>
            <w:tcW w:w="2160" w:type="dxa"/>
            <w:vAlign w:val="bottom"/>
            <w:tcBorders>
              <w:top w:val="single" w:sz="8" w:color="auto"/>
            </w:tcBorders>
            <w:shd w:val="clear" w:color="auto" w:fill="EEEEEE"/>
          </w:tcPr>
          <w:p>
            <w:pPr>
              <w:ind w:left="900"/>
              <w:spacing w:after="0"/>
              <w:rPr>
                <w:sz w:val="20"/>
                <w:szCs w:val="20"/>
                <w:color w:val="auto"/>
              </w:rPr>
            </w:pPr>
            <w:r>
              <w:rPr>
                <w:rFonts w:ascii="Times New Roman" w:cs="Times New Roman" w:eastAsia="Times New Roman" w:hAnsi="Times New Roman"/>
                <w:sz w:val="18"/>
                <w:szCs w:val="18"/>
                <w:color w:val="auto"/>
              </w:rPr>
              <w:t>2024</w:t>
            </w:r>
          </w:p>
        </w:tc>
        <w:tc>
          <w:tcPr>
            <w:tcW w:w="220" w:type="dxa"/>
            <w:vAlign w:val="bottom"/>
            <w:tcBorders>
              <w:top w:val="single" w:sz="8" w:color="EEEEEE"/>
            </w:tcBorders>
            <w:shd w:val="clear" w:color="auto" w:fill="EEEEEE"/>
          </w:tcPr>
          <w:p>
            <w:pPr>
              <w:spacing w:after="0"/>
              <w:rPr>
                <w:sz w:val="18"/>
                <w:szCs w:val="18"/>
                <w:color w:val="auto"/>
              </w:rPr>
            </w:pPr>
          </w:p>
        </w:tc>
        <w:tc>
          <w:tcPr>
            <w:tcW w:w="220" w:type="dxa"/>
            <w:vAlign w:val="bottom"/>
            <w:tcBorders>
              <w:top w:val="single" w:sz="8" w:color="auto"/>
            </w:tcBorders>
            <w:shd w:val="clear" w:color="auto" w:fill="EEEEEE"/>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8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982,691</w:t>
            </w:r>
          </w:p>
        </w:tc>
        <w:tc>
          <w:tcPr>
            <w:tcW w:w="180" w:type="dxa"/>
            <w:vAlign w:val="bottom"/>
            <w:tcBorders>
              <w:top w:val="single" w:sz="8" w:color="EEEEEE"/>
            </w:tcBorders>
            <w:shd w:val="clear" w:color="auto" w:fill="EEEEEE"/>
          </w:tcPr>
          <w:p>
            <w:pPr>
              <w:spacing w:after="0"/>
              <w:rPr>
                <w:sz w:val="18"/>
                <w:szCs w:val="18"/>
                <w:color w:val="auto"/>
              </w:rPr>
            </w:pPr>
          </w:p>
        </w:tc>
        <w:tc>
          <w:tcPr>
            <w:tcW w:w="180" w:type="dxa"/>
            <w:vAlign w:val="bottom"/>
            <w:tcBorders>
              <w:top w:val="single" w:sz="8" w:color="EEEEEE"/>
            </w:tcBorders>
            <w:shd w:val="clear" w:color="auto" w:fill="EEEEEE"/>
          </w:tcPr>
          <w:p>
            <w:pPr>
              <w:spacing w:after="0"/>
              <w:rPr>
                <w:sz w:val="18"/>
                <w:szCs w:val="18"/>
                <w:color w:val="auto"/>
              </w:rPr>
            </w:pPr>
          </w:p>
        </w:tc>
        <w:tc>
          <w:tcPr>
            <w:tcW w:w="18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w:t>
            </w:r>
          </w:p>
        </w:tc>
        <w:tc>
          <w:tcPr>
            <w:tcW w:w="17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(219,615)</w:t>
            </w:r>
          </w:p>
        </w:tc>
        <w:tc>
          <w:tcPr>
            <w:tcW w:w="320" w:type="dxa"/>
            <w:vAlign w:val="bottom"/>
            <w:tcBorders>
              <w:top w:val="single" w:sz="8" w:color="EEEEEE"/>
            </w:tcBorders>
            <w:shd w:val="clear" w:color="auto" w:fill="EEEEEE"/>
          </w:tcPr>
          <w:p>
            <w:pPr>
              <w:spacing w:after="0"/>
              <w:rPr>
                <w:sz w:val="18"/>
                <w:szCs w:val="18"/>
                <w:color w:val="auto"/>
              </w:rPr>
            </w:pPr>
          </w:p>
        </w:tc>
        <w:tc>
          <w:tcPr>
            <w:tcW w:w="220" w:type="dxa"/>
            <w:vAlign w:val="bottom"/>
            <w:tcBorders>
              <w:top w:val="single" w:sz="8" w:color="auto"/>
            </w:tcBorders>
            <w:shd w:val="clear" w:color="auto" w:fill="EEEEEE"/>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6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(308,554)</w:t>
            </w:r>
          </w:p>
        </w:tc>
        <w:tc>
          <w:tcPr>
            <w:tcW w:w="200" w:type="dxa"/>
            <w:vAlign w:val="bottom"/>
            <w:tcBorders>
              <w:top w:val="single" w:sz="8" w:color="EEEEEE"/>
            </w:tcBorders>
            <w:shd w:val="clear" w:color="auto" w:fill="EEEEEE"/>
          </w:tcPr>
          <w:p>
            <w:pPr>
              <w:spacing w:after="0"/>
              <w:rPr>
                <w:sz w:val="18"/>
                <w:szCs w:val="18"/>
                <w:color w:val="auto"/>
              </w:rPr>
            </w:pPr>
          </w:p>
        </w:tc>
        <w:tc>
          <w:tcPr>
            <w:tcW w:w="120" w:type="dxa"/>
            <w:vAlign w:val="bottom"/>
            <w:tcBorders>
              <w:top w:val="single" w:sz="8" w:color="EEEEEE"/>
            </w:tcBorders>
            <w:shd w:val="clear" w:color="auto" w:fill="EEEEEE"/>
          </w:tcPr>
          <w:p>
            <w:pPr>
              <w:spacing w:after="0"/>
              <w:rPr>
                <w:sz w:val="18"/>
                <w:szCs w:val="18"/>
                <w:color w:val="auto"/>
              </w:rPr>
            </w:pPr>
          </w:p>
        </w:tc>
        <w:tc>
          <w:tcPr>
            <w:tcW w:w="1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8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454,522</w:t>
            </w:r>
          </w:p>
        </w:tc>
        <w:tc>
          <w:tcPr>
            <w:tcW w:w="100" w:type="dxa"/>
            <w:vAlign w:val="bottom"/>
            <w:tcBorders>
              <w:top w:val="single" w:sz="8" w:color="EEEEEE"/>
            </w:tcBorders>
            <w:shd w:val="clear" w:color="auto" w:fill="EEEEEE"/>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160" w:type="dxa"/>
            <w:vAlign w:val="bottom"/>
          </w:tcPr>
          <w:p>
            <w:pPr>
              <w:ind w:left="900"/>
              <w:spacing w:after="0"/>
              <w:rPr>
                <w:sz w:val="20"/>
                <w:szCs w:val="20"/>
                <w:color w:val="auto"/>
              </w:rPr>
            </w:pPr>
            <w:r>
              <w:rPr>
                <w:rFonts w:ascii="Times New Roman" w:cs="Times New Roman" w:eastAsia="Times New Roman" w:hAnsi="Times New Roman"/>
                <w:sz w:val="18"/>
                <w:szCs w:val="18"/>
                <w:color w:val="auto"/>
              </w:rPr>
              <w:t>2023</w:t>
            </w:r>
          </w:p>
        </w:tc>
        <w:tc>
          <w:tcPr>
            <w:tcW w:w="220" w:type="dxa"/>
            <w:vAlign w:val="bottom"/>
          </w:tcPr>
          <w:p>
            <w:pPr>
              <w:spacing w:after="0"/>
              <w:rPr>
                <w:sz w:val="18"/>
                <w:szCs w:val="18"/>
                <w:color w:val="auto"/>
              </w:rPr>
            </w:pPr>
          </w:p>
        </w:tc>
        <w:tc>
          <w:tcPr>
            <w:tcW w:w="22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20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671,667</w:t>
            </w:r>
          </w:p>
        </w:tc>
        <w:tc>
          <w:tcPr>
            <w:tcW w:w="36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w:t>
            </w:r>
          </w:p>
        </w:tc>
        <w:tc>
          <w:tcPr>
            <w:tcW w:w="2040" w:type="dxa"/>
            <w:vAlign w:val="bottom"/>
            <w:gridSpan w:val="2"/>
          </w:tcPr>
          <w:p>
            <w:pPr>
              <w:jc w:val="right"/>
              <w:ind w:right="260"/>
              <w:spacing w:after="0"/>
              <w:rPr>
                <w:sz w:val="20"/>
                <w:szCs w:val="20"/>
                <w:color w:val="auto"/>
              </w:rPr>
            </w:pPr>
            <w:r>
              <w:rPr>
                <w:rFonts w:ascii="Times New Roman" w:cs="Times New Roman" w:eastAsia="Times New Roman" w:hAnsi="Times New Roman"/>
                <w:sz w:val="18"/>
                <w:szCs w:val="18"/>
                <w:color w:val="auto"/>
              </w:rPr>
              <w:t>(28,307)</w:t>
            </w:r>
          </w:p>
        </w:tc>
        <w:tc>
          <w:tcPr>
            <w:tcW w:w="22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8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552,941</w:t>
            </w:r>
          </w:p>
        </w:tc>
        <w:tc>
          <w:tcPr>
            <w:tcW w:w="24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90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1,196,301</w:t>
            </w:r>
          </w:p>
        </w:tc>
        <w:tc>
          <w:tcPr>
            <w:tcW w:w="0" w:type="dxa"/>
            <w:vAlign w:val="bottom"/>
          </w:tcPr>
          <w:p>
            <w:pPr>
              <w:spacing w:after="0"/>
              <w:rPr>
                <w:sz w:val="1"/>
                <w:szCs w:val="1"/>
                <w:color w:val="auto"/>
              </w:rPr>
            </w:pPr>
          </w:p>
        </w:tc>
      </w:tr>
      <w:tr>
        <w:trPr>
          <w:trHeight w:val="216"/>
        </w:trPr>
        <w:tc>
          <w:tcPr>
            <w:tcW w:w="2160" w:type="dxa"/>
            <w:vAlign w:val="bottom"/>
            <w:shd w:val="clear" w:color="auto" w:fill="EEEEEE"/>
          </w:tcPr>
          <w:p>
            <w:pPr>
              <w:ind w:left="900"/>
              <w:spacing w:after="0"/>
              <w:rPr>
                <w:sz w:val="20"/>
                <w:szCs w:val="20"/>
                <w:color w:val="auto"/>
              </w:rPr>
            </w:pPr>
            <w:r>
              <w:rPr>
                <w:rFonts w:ascii="Times New Roman" w:cs="Times New Roman" w:eastAsia="Times New Roman" w:hAnsi="Times New Roman"/>
                <w:sz w:val="18"/>
                <w:szCs w:val="18"/>
                <w:color w:val="auto"/>
              </w:rPr>
              <w:t>2022</w:t>
            </w:r>
          </w:p>
        </w:tc>
        <w:tc>
          <w:tcPr>
            <w:tcW w:w="220" w:type="dxa"/>
            <w:vAlign w:val="bottom"/>
            <w:shd w:val="clear" w:color="auto" w:fill="EEEEEE"/>
          </w:tcPr>
          <w:p>
            <w:pPr>
              <w:spacing w:after="0"/>
              <w:rPr>
                <w:sz w:val="18"/>
                <w:szCs w:val="18"/>
                <w:color w:val="auto"/>
              </w:rPr>
            </w:pPr>
          </w:p>
        </w:tc>
        <w:tc>
          <w:tcPr>
            <w:tcW w:w="220" w:type="dxa"/>
            <w:vAlign w:val="bottom"/>
            <w:shd w:val="clear" w:color="auto" w:fill="EEEEEE"/>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2000" w:type="dxa"/>
            <w:vAlign w:val="bottom"/>
            <w:gridSpan w:val="2"/>
            <w:shd w:val="clear" w:color="auto" w:fill="EEEEEE"/>
          </w:tcPr>
          <w:p>
            <w:pPr>
              <w:jc w:val="right"/>
              <w:ind w:right="180"/>
              <w:spacing w:after="0"/>
              <w:rPr>
                <w:sz w:val="20"/>
                <w:szCs w:val="20"/>
                <w:color w:val="auto"/>
              </w:rPr>
            </w:pPr>
            <w:r>
              <w:rPr>
                <w:rFonts w:ascii="Times New Roman" w:cs="Times New Roman" w:eastAsia="Times New Roman" w:hAnsi="Times New Roman"/>
                <w:sz w:val="18"/>
                <w:szCs w:val="18"/>
                <w:color w:val="auto"/>
              </w:rPr>
              <w:t>762,530</w:t>
            </w:r>
          </w:p>
        </w:tc>
        <w:tc>
          <w:tcPr>
            <w:tcW w:w="360" w:type="dxa"/>
            <w:vAlign w:val="bottom"/>
            <w:gridSpan w:val="2"/>
            <w:shd w:val="clear" w:color="auto" w:fill="EEEEEE"/>
          </w:tcPr>
          <w:p>
            <w:pPr>
              <w:ind w:left="180"/>
              <w:spacing w:after="0"/>
              <w:rPr>
                <w:sz w:val="20"/>
                <w:szCs w:val="20"/>
                <w:color w:val="auto"/>
              </w:rPr>
            </w:pPr>
            <w:r>
              <w:rPr>
                <w:rFonts w:ascii="Times New Roman" w:cs="Times New Roman" w:eastAsia="Times New Roman" w:hAnsi="Times New Roman"/>
                <w:sz w:val="18"/>
                <w:szCs w:val="18"/>
                <w:color w:val="auto"/>
              </w:rPr>
              <w:t>$</w:t>
            </w:r>
          </w:p>
        </w:tc>
        <w:tc>
          <w:tcPr>
            <w:tcW w:w="2040" w:type="dxa"/>
            <w:vAlign w:val="bottom"/>
            <w:gridSpan w:val="2"/>
            <w:shd w:val="clear" w:color="auto" w:fill="EEEEEE"/>
          </w:tcPr>
          <w:p>
            <w:pPr>
              <w:jc w:val="right"/>
              <w:ind w:right="260"/>
              <w:spacing w:after="0"/>
              <w:rPr>
                <w:sz w:val="20"/>
                <w:szCs w:val="20"/>
                <w:color w:val="auto"/>
              </w:rPr>
            </w:pPr>
            <w:r>
              <w:rPr>
                <w:rFonts w:ascii="Times New Roman" w:cs="Times New Roman" w:eastAsia="Times New Roman" w:hAnsi="Times New Roman"/>
                <w:sz w:val="18"/>
                <w:szCs w:val="18"/>
                <w:color w:val="auto"/>
              </w:rPr>
              <w:t>(6,530)</w:t>
            </w:r>
          </w:p>
        </w:tc>
        <w:tc>
          <w:tcPr>
            <w:tcW w:w="220" w:type="dxa"/>
            <w:vAlign w:val="bottom"/>
            <w:shd w:val="clear" w:color="auto" w:fill="EEEEEE"/>
          </w:tcPr>
          <w:p>
            <w:pPr>
              <w:jc w:val="right"/>
              <w:ind w:right="30"/>
              <w:spacing w:after="0"/>
              <w:rPr>
                <w:sz w:val="20"/>
                <w:szCs w:val="20"/>
                <w:color w:val="auto"/>
              </w:rPr>
            </w:pPr>
            <w:r>
              <w:rPr>
                <w:rFonts w:ascii="Times New Roman" w:cs="Times New Roman" w:eastAsia="Times New Roman" w:hAnsi="Times New Roman"/>
                <w:sz w:val="18"/>
                <w:szCs w:val="18"/>
                <w:color w:val="auto"/>
                <w:w w:val="88"/>
              </w:rPr>
              <w:t>$</w:t>
            </w:r>
          </w:p>
        </w:tc>
        <w:tc>
          <w:tcPr>
            <w:tcW w:w="188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8"/>
                <w:szCs w:val="18"/>
                <w:color w:val="auto"/>
              </w:rPr>
              <w:t>1,125,416</w:t>
            </w:r>
          </w:p>
        </w:tc>
        <w:tc>
          <w:tcPr>
            <w:tcW w:w="24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90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1,881,416</w:t>
            </w: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22" w:name="page23"/>
    <w:bookmarkEnd w:id="22"/>
    <w:p>
      <w:pPr>
        <w:spacing w:after="0"/>
        <w:rPr>
          <w:sz w:val="20"/>
          <w:szCs w:val="20"/>
          <w:color w:val="auto"/>
        </w:rPr>
      </w:pPr>
      <w:r>
        <w:rPr>
          <w:rFonts w:ascii="Times New Roman" w:cs="Times New Roman" w:eastAsia="Times New Roman" w:hAnsi="Times New Roman"/>
          <w:sz w:val="18"/>
          <w:szCs w:val="18"/>
          <w:color w:val="auto"/>
        </w:rPr>
        <w:t>(a) The amounts deducted or added in calculating the total average equity award adjustments are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gridSpan w:val="3"/>
          </w:tcPr>
          <w:p>
            <w:pPr>
              <w:spacing w:after="0"/>
              <w:rPr>
                <w:sz w:val="20"/>
                <w:szCs w:val="20"/>
                <w:color w:val="auto"/>
              </w:rPr>
            </w:pPr>
            <w:r>
              <w:rPr>
                <w:rFonts w:ascii="Times New Roman" w:cs="Times New Roman" w:eastAsia="Times New Roman" w:hAnsi="Times New Roman"/>
                <w:sz w:val="18"/>
                <w:szCs w:val="18"/>
                <w:b w:val="1"/>
                <w:bCs w:val="1"/>
                <w:color w:val="auto"/>
              </w:rPr>
              <w:t>Average Value</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9"/>
              </w:rPr>
              <w:t>of Dividends</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6"/>
              </w:rPr>
              <w:t>Year over</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6"/>
              </w:rPr>
              <w:t>Year over</w:t>
            </w: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8"/>
              </w:rPr>
              <w:t>Average Fair</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or other</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gridSpan w:val="3"/>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5"/>
              </w:rPr>
              <w:t>Average Year</w:t>
            </w:r>
          </w:p>
        </w:tc>
        <w:tc>
          <w:tcPr>
            <w:tcW w:w="120" w:type="dxa"/>
            <w:vAlign w:val="bottom"/>
          </w:tcPr>
          <w:p>
            <w:pPr>
              <w:spacing w:after="0"/>
              <w:rPr>
                <w:sz w:val="18"/>
                <w:szCs w:val="18"/>
                <w:color w:val="auto"/>
              </w:rPr>
            </w:pPr>
          </w:p>
        </w:tc>
        <w:tc>
          <w:tcPr>
            <w:tcW w:w="128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7"/>
              </w:rPr>
              <w:t>Year Average</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5"/>
              </w:rPr>
              <w:t>Year Average</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6"/>
              </w:rPr>
              <w:t>Value at the</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Earnings Paid</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gridSpan w:val="2"/>
          </w:tcPr>
          <w:p>
            <w:pPr>
              <w:jc w:val="center"/>
              <w:ind w:right="280"/>
              <w:spacing w:after="0"/>
              <w:rPr>
                <w:sz w:val="20"/>
                <w:szCs w:val="20"/>
                <w:color w:val="auto"/>
              </w:rPr>
            </w:pPr>
            <w:r>
              <w:rPr>
                <w:rFonts w:ascii="Times New Roman" w:cs="Times New Roman" w:eastAsia="Times New Roman" w:hAnsi="Times New Roman"/>
                <w:sz w:val="18"/>
                <w:szCs w:val="18"/>
                <w:b w:val="1"/>
                <w:bCs w:val="1"/>
                <w:color w:val="auto"/>
              </w:rPr>
              <w:t>End Fair</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Change in</w:t>
            </w:r>
          </w:p>
        </w:tc>
        <w:tc>
          <w:tcPr>
            <w:tcW w:w="100" w:type="dxa"/>
            <w:vAlign w:val="bottom"/>
          </w:tcPr>
          <w:p>
            <w:pPr>
              <w:spacing w:after="0"/>
              <w:rPr>
                <w:sz w:val="18"/>
                <w:szCs w:val="18"/>
                <w:color w:val="auto"/>
              </w:rPr>
            </w:pPr>
          </w:p>
        </w:tc>
        <w:tc>
          <w:tcPr>
            <w:tcW w:w="1360" w:type="dxa"/>
            <w:vAlign w:val="bottom"/>
            <w:gridSpan w:val="3"/>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8"/>
              </w:rPr>
              <w:t>Average Fair</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Change in</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9"/>
              </w:rPr>
              <w:t>End of the</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9"/>
              </w:rPr>
              <w:t>on Stock or</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gridSpan w:val="2"/>
          </w:tcPr>
          <w:p>
            <w:pPr>
              <w:jc w:val="center"/>
              <w:ind w:right="280"/>
              <w:spacing w:after="0"/>
              <w:rPr>
                <w:sz w:val="20"/>
                <w:szCs w:val="20"/>
                <w:color w:val="auto"/>
              </w:rPr>
            </w:pPr>
            <w:r>
              <w:rPr>
                <w:rFonts w:ascii="Times New Roman" w:cs="Times New Roman" w:eastAsia="Times New Roman" w:hAnsi="Times New Roman"/>
                <w:sz w:val="18"/>
                <w:szCs w:val="18"/>
                <w:b w:val="1"/>
                <w:bCs w:val="1"/>
                <w:color w:val="auto"/>
                <w:w w:val="96"/>
              </w:rPr>
              <w:t>Value of</w:t>
            </w:r>
          </w:p>
        </w:tc>
        <w:tc>
          <w:tcPr>
            <w:tcW w:w="120" w:type="dxa"/>
            <w:vAlign w:val="bottom"/>
          </w:tcPr>
          <w:p>
            <w:pPr>
              <w:spacing w:after="0"/>
              <w:rPr>
                <w:sz w:val="18"/>
                <w:szCs w:val="18"/>
                <w:color w:val="auto"/>
              </w:rPr>
            </w:pPr>
          </w:p>
        </w:tc>
        <w:tc>
          <w:tcPr>
            <w:tcW w:w="128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8"/>
              </w:rPr>
              <w:t>Fair Value of</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gridSpan w:val="2"/>
          </w:tcPr>
          <w:p>
            <w:pPr>
              <w:jc w:val="center"/>
              <w:ind w:right="360"/>
              <w:spacing w:after="0"/>
              <w:rPr>
                <w:sz w:val="20"/>
                <w:szCs w:val="20"/>
                <w:color w:val="auto"/>
              </w:rPr>
            </w:pPr>
            <w:r>
              <w:rPr>
                <w:rFonts w:ascii="Times New Roman" w:cs="Times New Roman" w:eastAsia="Times New Roman" w:hAnsi="Times New Roman"/>
                <w:sz w:val="18"/>
                <w:szCs w:val="18"/>
                <w:b w:val="1"/>
                <w:bCs w:val="1"/>
                <w:color w:val="auto"/>
                <w:w w:val="98"/>
              </w:rPr>
              <w:t>Value as of</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Fair Value of</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Prior Year of</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Option</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gridSpan w:val="3"/>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9"/>
              </w:rPr>
              <w:t>Outstanding</w:t>
            </w:r>
          </w:p>
        </w:tc>
        <w:tc>
          <w:tcPr>
            <w:tcW w:w="120" w:type="dxa"/>
            <w:vAlign w:val="bottom"/>
          </w:tcPr>
          <w:p>
            <w:pPr>
              <w:spacing w:after="0"/>
              <w:rPr>
                <w:sz w:val="18"/>
                <w:szCs w:val="18"/>
                <w:color w:val="auto"/>
              </w:rPr>
            </w:pPr>
          </w:p>
        </w:tc>
        <w:tc>
          <w:tcPr>
            <w:tcW w:w="128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Outstanding</w:t>
            </w:r>
          </w:p>
        </w:tc>
        <w:tc>
          <w:tcPr>
            <w:tcW w:w="100" w:type="dxa"/>
            <w:vAlign w:val="bottom"/>
          </w:tcPr>
          <w:p>
            <w:pPr>
              <w:spacing w:after="0"/>
              <w:rPr>
                <w:sz w:val="18"/>
                <w:szCs w:val="18"/>
                <w:color w:val="auto"/>
              </w:rPr>
            </w:pPr>
          </w:p>
        </w:tc>
        <w:tc>
          <w:tcPr>
            <w:tcW w:w="1360" w:type="dxa"/>
            <w:vAlign w:val="bottom"/>
            <w:gridSpan w:val="3"/>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7"/>
              </w:rPr>
              <w:t>Vesting Date</w:t>
            </w:r>
          </w:p>
        </w:tc>
        <w:tc>
          <w:tcPr>
            <w:tcW w:w="100" w:type="dxa"/>
            <w:vAlign w:val="bottom"/>
          </w:tcPr>
          <w:p>
            <w:pPr>
              <w:spacing w:after="0"/>
              <w:rPr>
                <w:sz w:val="18"/>
                <w:szCs w:val="18"/>
                <w:color w:val="auto"/>
              </w:rPr>
            </w:pPr>
          </w:p>
        </w:tc>
        <w:tc>
          <w:tcPr>
            <w:tcW w:w="1220" w:type="dxa"/>
            <w:vAlign w:val="bottom"/>
            <w:gridSpan w:val="2"/>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w w:val="99"/>
              </w:rPr>
              <w:t>Equity</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9"/>
              </w:rPr>
              <w:t>Equity</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8"/>
              </w:rPr>
              <w:t>Awards not</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gridSpan w:val="3"/>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9"/>
              </w:rPr>
              <w:t>and Unvested</w:t>
            </w:r>
          </w:p>
        </w:tc>
        <w:tc>
          <w:tcPr>
            <w:tcW w:w="120" w:type="dxa"/>
            <w:vAlign w:val="bottom"/>
          </w:tcPr>
          <w:p>
            <w:pPr>
              <w:spacing w:after="0"/>
              <w:rPr>
                <w:sz w:val="18"/>
                <w:szCs w:val="18"/>
                <w:color w:val="auto"/>
              </w:rPr>
            </w:pPr>
          </w:p>
        </w:tc>
        <w:tc>
          <w:tcPr>
            <w:tcW w:w="128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and Unvested</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gridSpan w:val="2"/>
          </w:tcPr>
          <w:p>
            <w:pPr>
              <w:jc w:val="center"/>
              <w:ind w:right="360"/>
              <w:spacing w:after="0"/>
              <w:rPr>
                <w:sz w:val="20"/>
                <w:szCs w:val="20"/>
                <w:color w:val="auto"/>
              </w:rPr>
            </w:pPr>
            <w:r>
              <w:rPr>
                <w:rFonts w:ascii="Times New Roman" w:cs="Times New Roman" w:eastAsia="Times New Roman" w:hAnsi="Times New Roman"/>
                <w:sz w:val="18"/>
                <w:szCs w:val="18"/>
                <w:b w:val="1"/>
                <w:bCs w:val="1"/>
                <w:color w:val="auto"/>
              </w:rPr>
              <w:t>of Equity</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6"/>
              </w:rPr>
              <w:t>Awards</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Awards that</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rPr>
              <w:t>Otherwise</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9"/>
              </w:rPr>
              <w:t>Equity</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9"/>
              </w:rPr>
              <w:t>Equity</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gridSpan w:val="2"/>
          </w:tcPr>
          <w:p>
            <w:pPr>
              <w:jc w:val="center"/>
              <w:ind w:right="360"/>
              <w:spacing w:after="0"/>
              <w:rPr>
                <w:sz w:val="20"/>
                <w:szCs w:val="20"/>
                <w:color w:val="auto"/>
              </w:rPr>
            </w:pPr>
            <w:r>
              <w:rPr>
                <w:rFonts w:ascii="Times New Roman" w:cs="Times New Roman" w:eastAsia="Times New Roman" w:hAnsi="Times New Roman"/>
                <w:sz w:val="18"/>
                <w:szCs w:val="18"/>
                <w:b w:val="1"/>
                <w:bCs w:val="1"/>
                <w:color w:val="auto"/>
                <w:w w:val="99"/>
              </w:rPr>
              <w:t>Awards</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rPr>
              <w:t>Granted in</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7"/>
              </w:rPr>
              <w:t>Failed to</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rPr>
              <w:t>Reflected in</w:t>
            </w:r>
          </w:p>
        </w:tc>
        <w:tc>
          <w:tcPr>
            <w:tcW w:w="2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00" w:type="dxa"/>
            <w:vAlign w:val="bottom"/>
            <w:gridSpan w:val="2"/>
          </w:tcPr>
          <w:p>
            <w:pPr>
              <w:jc w:val="center"/>
              <w:ind w:right="280"/>
              <w:spacing w:after="0"/>
              <w:rPr>
                <w:sz w:val="20"/>
                <w:szCs w:val="20"/>
                <w:color w:val="auto"/>
              </w:rPr>
            </w:pPr>
            <w:r>
              <w:rPr>
                <w:rFonts w:ascii="Times New Roman" w:cs="Times New Roman" w:eastAsia="Times New Roman" w:hAnsi="Times New Roman"/>
                <w:sz w:val="18"/>
                <w:szCs w:val="18"/>
                <w:b w:val="1"/>
                <w:bCs w:val="1"/>
                <w:color w:val="auto"/>
                <w:w w:val="96"/>
              </w:rPr>
              <w:t>Awards</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9"/>
              </w:rPr>
              <w:t>Awards</w:t>
            </w:r>
          </w:p>
        </w:tc>
        <w:tc>
          <w:tcPr>
            <w:tcW w:w="100" w:type="dxa"/>
            <w:vAlign w:val="bottom"/>
          </w:tcPr>
          <w:p>
            <w:pPr>
              <w:spacing w:after="0"/>
              <w:rPr>
                <w:sz w:val="18"/>
                <w:szCs w:val="18"/>
                <w:color w:val="auto"/>
              </w:rPr>
            </w:pPr>
          </w:p>
        </w:tc>
        <w:tc>
          <w:tcPr>
            <w:tcW w:w="1360" w:type="dxa"/>
            <w:vAlign w:val="bottom"/>
            <w:gridSpan w:val="3"/>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rPr>
              <w:t>Granted and</w:t>
            </w:r>
          </w:p>
        </w:tc>
        <w:tc>
          <w:tcPr>
            <w:tcW w:w="100" w:type="dxa"/>
            <w:vAlign w:val="bottom"/>
          </w:tcPr>
          <w:p>
            <w:pPr>
              <w:spacing w:after="0"/>
              <w:rPr>
                <w:sz w:val="18"/>
                <w:szCs w:val="18"/>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Prior Years</w:t>
            </w: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8"/>
              </w:rPr>
              <w:t>Meet Vesting</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Fair Value or</w:t>
            </w:r>
          </w:p>
        </w:tc>
        <w:tc>
          <w:tcPr>
            <w:tcW w:w="1220" w:type="dxa"/>
            <w:vAlign w:val="bottom"/>
            <w:gridSpan w:val="3"/>
          </w:tcPr>
          <w:p>
            <w:pPr>
              <w:ind w:left="20"/>
              <w:spacing w:after="0"/>
              <w:rPr>
                <w:sz w:val="20"/>
                <w:szCs w:val="20"/>
                <w:color w:val="auto"/>
              </w:rPr>
            </w:pPr>
            <w:r>
              <w:rPr>
                <w:rFonts w:ascii="Times New Roman" w:cs="Times New Roman" w:eastAsia="Times New Roman" w:hAnsi="Times New Roman"/>
                <w:sz w:val="18"/>
                <w:szCs w:val="18"/>
                <w:b w:val="1"/>
                <w:bCs w:val="1"/>
                <w:color w:val="auto"/>
              </w:rPr>
              <w:t>Total Average</w:t>
            </w:r>
          </w:p>
        </w:tc>
      </w:tr>
      <w:tr>
        <w:trPr>
          <w:trHeight w:val="216"/>
        </w:trPr>
        <w:tc>
          <w:tcPr>
            <w:tcW w:w="1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gridSpan w:val="3"/>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Granted in the</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8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9"/>
              </w:rPr>
              <w:t>Granted in</w:t>
            </w:r>
          </w:p>
        </w:tc>
        <w:tc>
          <w:tcPr>
            <w:tcW w:w="100" w:type="dxa"/>
            <w:vAlign w:val="bottom"/>
          </w:tcPr>
          <w:p>
            <w:pPr>
              <w:spacing w:after="0"/>
              <w:rPr>
                <w:sz w:val="18"/>
                <w:szCs w:val="18"/>
                <w:color w:val="auto"/>
              </w:rPr>
            </w:pPr>
          </w:p>
        </w:tc>
        <w:tc>
          <w:tcPr>
            <w:tcW w:w="1360" w:type="dxa"/>
            <w:vAlign w:val="bottom"/>
            <w:gridSpan w:val="3"/>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Vested in the</w:t>
            </w:r>
          </w:p>
        </w:tc>
        <w:tc>
          <w:tcPr>
            <w:tcW w:w="132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that Vested in</w:t>
            </w: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Conditions in</w:t>
            </w:r>
          </w:p>
        </w:tc>
        <w:tc>
          <w:tcPr>
            <w:tcW w:w="100" w:type="dxa"/>
            <w:vAlign w:val="bottom"/>
          </w:tcPr>
          <w:p>
            <w:pPr>
              <w:spacing w:after="0"/>
              <w:rPr>
                <w:sz w:val="18"/>
                <w:szCs w:val="18"/>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7"/>
              </w:rPr>
              <w:t>Total</w:t>
            </w:r>
          </w:p>
        </w:tc>
        <w:tc>
          <w:tcPr>
            <w:tcW w:w="1220" w:type="dxa"/>
            <w:vAlign w:val="bottom"/>
            <w:gridSpan w:val="3"/>
          </w:tcPr>
          <w:p>
            <w:pPr>
              <w:ind w:left="20"/>
              <w:spacing w:after="0"/>
              <w:rPr>
                <w:sz w:val="20"/>
                <w:szCs w:val="20"/>
                <w:color w:val="auto"/>
              </w:rPr>
            </w:pPr>
            <w:r>
              <w:rPr>
                <w:rFonts w:ascii="Times New Roman" w:cs="Times New Roman" w:eastAsia="Times New Roman" w:hAnsi="Times New Roman"/>
                <w:sz w:val="18"/>
                <w:szCs w:val="18"/>
                <w:b w:val="1"/>
                <w:bCs w:val="1"/>
                <w:color w:val="auto"/>
              </w:rPr>
              <w:t>Equity Award</w:t>
            </w:r>
          </w:p>
        </w:tc>
      </w:tr>
      <w:tr>
        <w:trPr>
          <w:trHeight w:val="238"/>
        </w:trPr>
        <w:tc>
          <w:tcPr>
            <w:tcW w:w="1820" w:type="dxa"/>
            <w:vAlign w:val="bottom"/>
          </w:tcPr>
          <w:p>
            <w:pPr>
              <w:ind w:left="740"/>
              <w:spacing w:after="0"/>
              <w:rPr>
                <w:sz w:val="20"/>
                <w:szCs w:val="20"/>
                <w:color w:val="auto"/>
              </w:rPr>
            </w:pPr>
            <w:r>
              <w:rPr>
                <w:rFonts w:ascii="Times New Roman" w:cs="Times New Roman" w:eastAsia="Times New Roman" w:hAnsi="Times New Roman"/>
                <w:sz w:val="18"/>
                <w:szCs w:val="18"/>
                <w:b w:val="1"/>
                <w:bCs w:val="1"/>
                <w:color w:val="auto"/>
              </w:rPr>
              <w:t>Year</w:t>
            </w:r>
          </w:p>
        </w:tc>
        <w:tc>
          <w:tcPr>
            <w:tcW w:w="1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10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4"/>
              </w:rPr>
              <w:t>Year</w:t>
            </w: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80" w:type="dxa"/>
            <w:vAlign w:val="bottom"/>
            <w:gridSpan w:val="2"/>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7"/>
              </w:rPr>
              <w:t>Prior Years</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40" w:type="dxa"/>
            <w:vAlign w:val="bottom"/>
            <w:gridSpan w:val="2"/>
          </w:tcPr>
          <w:p>
            <w:pPr>
              <w:jc w:val="center"/>
              <w:ind w:right="360"/>
              <w:spacing w:after="0"/>
              <w:rPr>
                <w:sz w:val="20"/>
                <w:szCs w:val="20"/>
                <w:color w:val="auto"/>
              </w:rPr>
            </w:pPr>
            <w:r>
              <w:rPr>
                <w:rFonts w:ascii="Times New Roman" w:cs="Times New Roman" w:eastAsia="Times New Roman" w:hAnsi="Times New Roman"/>
                <w:sz w:val="18"/>
                <w:szCs w:val="18"/>
                <w:b w:val="1"/>
                <w:bCs w:val="1"/>
                <w:color w:val="auto"/>
                <w:w w:val="94"/>
              </w:rPr>
              <w:t>Year</w:t>
            </w:r>
          </w:p>
        </w:tc>
        <w:tc>
          <w:tcPr>
            <w:tcW w:w="100" w:type="dxa"/>
            <w:vAlign w:val="bottom"/>
          </w:tcPr>
          <w:p>
            <w:pPr>
              <w:spacing w:after="0"/>
              <w:rPr>
                <w:sz w:val="20"/>
                <w:szCs w:val="20"/>
                <w:color w:val="auto"/>
              </w:rPr>
            </w:pPr>
          </w:p>
        </w:tc>
        <w:tc>
          <w:tcPr>
            <w:tcW w:w="1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the Year</w:t>
            </w:r>
          </w:p>
        </w:tc>
        <w:tc>
          <w:tcPr>
            <w:tcW w:w="100" w:type="dxa"/>
            <w:vAlign w:val="bottom"/>
          </w:tcPr>
          <w:p>
            <w:pPr>
              <w:spacing w:after="0"/>
              <w:rPr>
                <w:sz w:val="20"/>
                <w:szCs w:val="20"/>
                <w:color w:val="auto"/>
              </w:rPr>
            </w:pPr>
          </w:p>
        </w:tc>
        <w:tc>
          <w:tcPr>
            <w:tcW w:w="122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6"/>
              </w:rPr>
              <w:t>the Year</w:t>
            </w:r>
          </w:p>
        </w:tc>
        <w:tc>
          <w:tcPr>
            <w:tcW w:w="132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Compensation</w:t>
            </w:r>
          </w:p>
        </w:tc>
        <w:tc>
          <w:tcPr>
            <w:tcW w:w="1220" w:type="dxa"/>
            <w:vAlign w:val="bottom"/>
            <w:gridSpan w:val="3"/>
          </w:tcPr>
          <w:p>
            <w:pPr>
              <w:ind w:left="60"/>
              <w:spacing w:after="0"/>
              <w:rPr>
                <w:sz w:val="20"/>
                <w:szCs w:val="20"/>
                <w:color w:val="auto"/>
              </w:rPr>
            </w:pPr>
            <w:r>
              <w:rPr>
                <w:rFonts w:ascii="Times New Roman" w:cs="Times New Roman" w:eastAsia="Times New Roman" w:hAnsi="Times New Roman"/>
                <w:sz w:val="18"/>
                <w:szCs w:val="18"/>
                <w:b w:val="1"/>
                <w:bCs w:val="1"/>
                <w:color w:val="auto"/>
              </w:rPr>
              <w:t>Adjustments</w:t>
            </w:r>
          </w:p>
        </w:tc>
      </w:tr>
      <w:tr>
        <w:trPr>
          <w:trHeight w:val="210"/>
        </w:trPr>
        <w:tc>
          <w:tcPr>
            <w:tcW w:w="1820" w:type="dxa"/>
            <w:vAlign w:val="bottom"/>
            <w:tcBorders>
              <w:top w:val="single" w:sz="8" w:color="auto"/>
            </w:tcBorders>
            <w:shd w:val="clear" w:color="auto" w:fill="EEEEEE"/>
          </w:tcPr>
          <w:p>
            <w:pPr>
              <w:ind w:left="740"/>
              <w:spacing w:after="0"/>
              <w:rPr>
                <w:sz w:val="20"/>
                <w:szCs w:val="20"/>
                <w:color w:val="auto"/>
              </w:rPr>
            </w:pPr>
            <w:r>
              <w:rPr>
                <w:rFonts w:ascii="Times New Roman" w:cs="Times New Roman" w:eastAsia="Times New Roman" w:hAnsi="Times New Roman"/>
                <w:sz w:val="18"/>
                <w:szCs w:val="18"/>
                <w:color w:val="auto"/>
              </w:rPr>
              <w:t>2024</w:t>
            </w:r>
          </w:p>
        </w:tc>
        <w:tc>
          <w:tcPr>
            <w:tcW w:w="120" w:type="dxa"/>
            <w:vAlign w:val="bottom"/>
            <w:tcBorders>
              <w:top w:val="single" w:sz="8" w:color="EEEEEE"/>
            </w:tcBorders>
            <w:shd w:val="clear" w:color="auto" w:fill="EEEEEE"/>
          </w:tcPr>
          <w:p>
            <w:pPr>
              <w:spacing w:after="0"/>
              <w:rPr>
                <w:sz w:val="18"/>
                <w:szCs w:val="18"/>
                <w:color w:val="auto"/>
              </w:rPr>
            </w:pPr>
          </w:p>
        </w:tc>
        <w:tc>
          <w:tcPr>
            <w:tcW w:w="16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9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124</w:t>
            </w:r>
          </w:p>
        </w:tc>
        <w:tc>
          <w:tcPr>
            <w:tcW w:w="120" w:type="dxa"/>
            <w:vAlign w:val="bottom"/>
            <w:tcBorders>
              <w:top w:val="single" w:sz="8" w:color="EEEEEE"/>
            </w:tcBorders>
            <w:shd w:val="clear" w:color="auto" w:fill="EEEEEE"/>
          </w:tcPr>
          <w:p>
            <w:pPr>
              <w:spacing w:after="0"/>
              <w:rPr>
                <w:sz w:val="18"/>
                <w:szCs w:val="18"/>
                <w:color w:val="auto"/>
              </w:rPr>
            </w:pPr>
          </w:p>
        </w:tc>
        <w:tc>
          <w:tcPr>
            <w:tcW w:w="12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0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(268,416)</w:t>
            </w:r>
          </w:p>
        </w:tc>
        <w:tc>
          <w:tcPr>
            <w:tcW w:w="16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EEEEEE"/>
            </w:tcBorders>
            <w:shd w:val="clear" w:color="auto" w:fill="EEEEEE"/>
          </w:tcPr>
          <w:p>
            <w:pPr>
              <w:spacing w:after="0"/>
              <w:rPr>
                <w:sz w:val="18"/>
                <w:szCs w:val="18"/>
                <w:color w:val="auto"/>
              </w:rPr>
            </w:pPr>
          </w:p>
        </w:tc>
        <w:tc>
          <w:tcPr>
            <w:tcW w:w="1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0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9,274</w:t>
            </w:r>
          </w:p>
        </w:tc>
        <w:tc>
          <w:tcPr>
            <w:tcW w:w="24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0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(49,535)</w:t>
            </w:r>
          </w:p>
        </w:tc>
        <w:tc>
          <w:tcPr>
            <w:tcW w:w="22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000" w:type="dxa"/>
            <w:vAlign w:val="bottom"/>
            <w:tcBorders>
              <w:top w:val="single" w:sz="8" w:color="auto"/>
            </w:tcBorders>
            <w:shd w:val="clear" w:color="auto" w:fill="EEEEEE"/>
          </w:tcPr>
          <w:p>
            <w:pPr>
              <w:ind w:left="920"/>
              <w:spacing w:after="0"/>
              <w:rPr>
                <w:sz w:val="20"/>
                <w:szCs w:val="20"/>
                <w:color w:val="auto"/>
              </w:rPr>
            </w:pPr>
            <w:r>
              <w:rPr>
                <w:rFonts w:ascii="Times New Roman" w:cs="Times New Roman" w:eastAsia="Times New Roman" w:hAnsi="Times New Roman"/>
                <w:sz w:val="17"/>
                <w:szCs w:val="17"/>
                <w:color w:val="auto"/>
                <w:w w:val="70"/>
              </w:rPr>
              <w:t>–</w:t>
            </w:r>
          </w:p>
        </w:tc>
        <w:tc>
          <w:tcPr>
            <w:tcW w:w="22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w w:val="88"/>
              </w:rPr>
              <w:t>$</w:t>
            </w:r>
          </w:p>
        </w:tc>
        <w:tc>
          <w:tcPr>
            <w:tcW w:w="1000" w:type="dxa"/>
            <w:vAlign w:val="bottom"/>
            <w:tcBorders>
              <w:top w:val="single" w:sz="8" w:color="auto"/>
            </w:tcBorders>
            <w:shd w:val="clear" w:color="auto" w:fill="EEEEEE"/>
          </w:tcPr>
          <w:p>
            <w:pPr>
              <w:ind w:left="920"/>
              <w:spacing w:after="0"/>
              <w:rPr>
                <w:sz w:val="20"/>
                <w:szCs w:val="20"/>
                <w:color w:val="auto"/>
              </w:rPr>
            </w:pPr>
            <w:r>
              <w:rPr>
                <w:rFonts w:ascii="Times New Roman" w:cs="Times New Roman" w:eastAsia="Times New Roman" w:hAnsi="Times New Roman"/>
                <w:sz w:val="17"/>
                <w:szCs w:val="17"/>
                <w:color w:val="auto"/>
                <w:w w:val="70"/>
              </w:rPr>
              <w:t>–</w:t>
            </w:r>
          </w:p>
        </w:tc>
        <w:tc>
          <w:tcPr>
            <w:tcW w:w="220" w:type="dxa"/>
            <w:vAlign w:val="bottom"/>
            <w:tcBorders>
              <w:top w:val="single" w:sz="8" w:color="EEEEEE"/>
            </w:tcBorders>
            <w:shd w:val="clear" w:color="auto" w:fill="EEEEEE"/>
          </w:tcPr>
          <w:p>
            <w:pPr>
              <w:spacing w:after="0"/>
              <w:rPr>
                <w:sz w:val="18"/>
                <w:szCs w:val="18"/>
                <w:color w:val="auto"/>
              </w:rPr>
            </w:pPr>
          </w:p>
        </w:tc>
        <w:tc>
          <w:tcPr>
            <w:tcW w:w="24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w:t>
            </w:r>
          </w:p>
        </w:tc>
        <w:tc>
          <w:tcPr>
            <w:tcW w:w="8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(308,554)</w:t>
            </w:r>
          </w:p>
        </w:tc>
        <w:tc>
          <w:tcPr>
            <w:tcW w:w="100" w:type="dxa"/>
            <w:vAlign w:val="bottom"/>
            <w:tcBorders>
              <w:top w:val="single" w:sz="8" w:color="EEEEEE"/>
            </w:tcBorders>
            <w:shd w:val="clear" w:color="auto" w:fill="EEEEEE"/>
          </w:tcPr>
          <w:p>
            <w:pPr>
              <w:spacing w:after="0"/>
              <w:rPr>
                <w:sz w:val="18"/>
                <w:szCs w:val="18"/>
                <w:color w:val="auto"/>
              </w:rPr>
            </w:pPr>
          </w:p>
        </w:tc>
      </w:tr>
      <w:tr>
        <w:trPr>
          <w:trHeight w:val="216"/>
        </w:trPr>
        <w:tc>
          <w:tcPr>
            <w:tcW w:w="1820" w:type="dxa"/>
            <w:vAlign w:val="bottom"/>
          </w:tcPr>
          <w:p>
            <w:pPr>
              <w:ind w:left="740"/>
              <w:spacing w:after="0"/>
              <w:rPr>
                <w:sz w:val="20"/>
                <w:szCs w:val="20"/>
                <w:color w:val="auto"/>
              </w:rPr>
            </w:pPr>
            <w:r>
              <w:rPr>
                <w:rFonts w:ascii="Times New Roman" w:cs="Times New Roman" w:eastAsia="Times New Roman" w:hAnsi="Times New Roman"/>
                <w:sz w:val="18"/>
                <w:szCs w:val="18"/>
                <w:color w:val="auto"/>
              </w:rPr>
              <w:t>2023</w:t>
            </w:r>
          </w:p>
        </w:tc>
        <w:tc>
          <w:tcPr>
            <w:tcW w:w="2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tcPr>
          <w:p>
            <w:pPr>
              <w:jc w:val="right"/>
              <w:ind w:right="120"/>
              <w:spacing w:after="0"/>
              <w:rPr>
                <w:sz w:val="20"/>
                <w:szCs w:val="20"/>
                <w:color w:val="auto"/>
              </w:rPr>
            </w:pPr>
            <w:r>
              <w:rPr>
                <w:rFonts w:ascii="Times New Roman" w:cs="Times New Roman" w:eastAsia="Times New Roman" w:hAnsi="Times New Roman"/>
                <w:sz w:val="18"/>
                <w:szCs w:val="18"/>
                <w:color w:val="auto"/>
              </w:rPr>
              <w:t>348,249</w:t>
            </w:r>
          </w:p>
        </w:tc>
        <w:tc>
          <w:tcPr>
            <w:tcW w:w="2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8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12,798</w:t>
            </w:r>
          </w:p>
        </w:tc>
        <w:tc>
          <w:tcPr>
            <w:tcW w:w="22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tcPr>
          <w:p>
            <w:pPr>
              <w:jc w:val="right"/>
              <w:ind w:right="240"/>
              <w:spacing w:after="0"/>
              <w:rPr>
                <w:sz w:val="20"/>
                <w:szCs w:val="20"/>
                <w:color w:val="auto"/>
              </w:rPr>
            </w:pPr>
            <w:r>
              <w:rPr>
                <w:rFonts w:ascii="Times New Roman" w:cs="Times New Roman" w:eastAsia="Times New Roman" w:hAnsi="Times New Roman"/>
                <w:sz w:val="18"/>
                <w:szCs w:val="18"/>
                <w:color w:val="auto"/>
              </w:rPr>
              <w:t>53,575</w:t>
            </w:r>
          </w:p>
        </w:tc>
        <w:tc>
          <w:tcPr>
            <w:tcW w:w="100" w:type="dxa"/>
            <w:vAlign w:val="bottom"/>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22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138,319</w:t>
            </w:r>
          </w:p>
        </w:tc>
        <w:tc>
          <w:tcPr>
            <w:tcW w:w="100" w:type="dxa"/>
            <w:vAlign w:val="bottom"/>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220" w:type="dxa"/>
            <w:vAlign w:val="bottom"/>
            <w:gridSpan w:val="2"/>
          </w:tcPr>
          <w:p>
            <w:pPr>
              <w:ind w:left="92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gridSpan w:val="2"/>
          </w:tcPr>
          <w:p>
            <w:pPr>
              <w:ind w:left="920"/>
              <w:spacing w:after="0"/>
              <w:rPr>
                <w:sz w:val="20"/>
                <w:szCs w:val="20"/>
                <w:color w:val="auto"/>
              </w:rPr>
            </w:pPr>
            <w:r>
              <w:rPr>
                <w:rFonts w:ascii="Times New Roman" w:cs="Times New Roman" w:eastAsia="Times New Roman" w:hAnsi="Times New Roman"/>
                <w:sz w:val="18"/>
                <w:szCs w:val="18"/>
                <w:color w:val="auto"/>
              </w:rPr>
              <w:t>–</w:t>
            </w:r>
          </w:p>
        </w:tc>
        <w:tc>
          <w:tcPr>
            <w:tcW w:w="240" w:type="dxa"/>
            <w:vAlign w:val="bottom"/>
          </w:tcPr>
          <w:p>
            <w:pPr>
              <w:spacing w:after="0"/>
              <w:rPr>
                <w:sz w:val="20"/>
                <w:szCs w:val="20"/>
                <w:color w:val="auto"/>
              </w:rPr>
            </w:pPr>
            <w:r>
              <w:rPr>
                <w:rFonts w:ascii="Times New Roman" w:cs="Times New Roman" w:eastAsia="Times New Roman" w:hAnsi="Times New Roman"/>
                <w:sz w:val="18"/>
                <w:szCs w:val="18"/>
                <w:color w:val="auto"/>
              </w:rPr>
              <w:t>$</w:t>
            </w:r>
          </w:p>
        </w:tc>
        <w:tc>
          <w:tcPr>
            <w:tcW w:w="9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552,941</w:t>
            </w:r>
          </w:p>
        </w:tc>
      </w:tr>
      <w:tr>
        <w:trPr>
          <w:trHeight w:val="216"/>
        </w:trPr>
        <w:tc>
          <w:tcPr>
            <w:tcW w:w="1820" w:type="dxa"/>
            <w:vAlign w:val="bottom"/>
            <w:shd w:val="clear" w:color="auto" w:fill="EEEEEE"/>
          </w:tcPr>
          <w:p>
            <w:pPr>
              <w:ind w:left="740"/>
              <w:spacing w:after="0"/>
              <w:rPr>
                <w:sz w:val="20"/>
                <w:szCs w:val="20"/>
                <w:color w:val="auto"/>
              </w:rPr>
            </w:pPr>
            <w:r>
              <w:rPr>
                <w:rFonts w:ascii="Times New Roman" w:cs="Times New Roman" w:eastAsia="Times New Roman" w:hAnsi="Times New Roman"/>
                <w:sz w:val="18"/>
                <w:szCs w:val="18"/>
                <w:color w:val="auto"/>
              </w:rPr>
              <w:t>2022</w:t>
            </w:r>
          </w:p>
        </w:tc>
        <w:tc>
          <w:tcPr>
            <w:tcW w:w="28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gridSpan w:val="2"/>
            <w:shd w:val="clear" w:color="auto" w:fill="EEEEEE"/>
          </w:tcPr>
          <w:p>
            <w:pPr>
              <w:jc w:val="right"/>
              <w:ind w:right="120"/>
              <w:spacing w:after="0"/>
              <w:rPr>
                <w:sz w:val="20"/>
                <w:szCs w:val="20"/>
                <w:color w:val="auto"/>
              </w:rPr>
            </w:pPr>
            <w:r>
              <w:rPr>
                <w:rFonts w:ascii="Times New Roman" w:cs="Times New Roman" w:eastAsia="Times New Roman" w:hAnsi="Times New Roman"/>
                <w:sz w:val="18"/>
                <w:szCs w:val="18"/>
                <w:color w:val="auto"/>
              </w:rPr>
              <w:t>414,274</w:t>
            </w:r>
          </w:p>
        </w:tc>
        <w:tc>
          <w:tcPr>
            <w:tcW w:w="2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1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(964,255)</w:t>
            </w:r>
          </w:p>
        </w:tc>
        <w:tc>
          <w:tcPr>
            <w:tcW w:w="22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shd w:val="clear" w:color="auto" w:fill="EEEEEE"/>
          </w:tcPr>
          <w:p>
            <w:pPr>
              <w:jc w:val="right"/>
              <w:ind w:right="240"/>
              <w:spacing w:after="0"/>
              <w:rPr>
                <w:sz w:val="20"/>
                <w:szCs w:val="20"/>
                <w:color w:val="auto"/>
              </w:rPr>
            </w:pPr>
            <w:r>
              <w:rPr>
                <w:rFonts w:ascii="Times New Roman" w:cs="Times New Roman" w:eastAsia="Times New Roman" w:hAnsi="Times New Roman"/>
                <w:sz w:val="18"/>
                <w:szCs w:val="18"/>
                <w:color w:val="auto"/>
              </w:rPr>
              <w:t>161,345</w:t>
            </w:r>
          </w:p>
        </w:tc>
        <w:tc>
          <w:tcPr>
            <w:tcW w:w="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220" w:type="dxa"/>
            <w:vAlign w:val="bottom"/>
            <w:gridSpan w:val="2"/>
            <w:shd w:val="clear" w:color="auto" w:fill="EEEEEE"/>
          </w:tcPr>
          <w:p>
            <w:pPr>
              <w:jc w:val="right"/>
              <w:ind w:right="220"/>
              <w:spacing w:after="0"/>
              <w:rPr>
                <w:sz w:val="20"/>
                <w:szCs w:val="20"/>
                <w:color w:val="auto"/>
              </w:rPr>
            </w:pPr>
            <w:r>
              <w:rPr>
                <w:rFonts w:ascii="Times New Roman" w:cs="Times New Roman" w:eastAsia="Times New Roman" w:hAnsi="Times New Roman"/>
                <w:sz w:val="18"/>
                <w:szCs w:val="18"/>
                <w:color w:val="auto"/>
              </w:rPr>
              <w:t>1,514,052</w:t>
            </w:r>
          </w:p>
        </w:tc>
        <w:tc>
          <w:tcPr>
            <w:tcW w:w="1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7"/>
                <w:szCs w:val="17"/>
                <w:color w:val="auto"/>
                <w:w w:val="70"/>
              </w:rPr>
              <w:t>$</w:t>
            </w:r>
          </w:p>
        </w:tc>
        <w:tc>
          <w:tcPr>
            <w:tcW w:w="1220" w:type="dxa"/>
            <w:vAlign w:val="bottom"/>
            <w:gridSpan w:val="2"/>
            <w:shd w:val="clear" w:color="auto" w:fill="EEEEEE"/>
          </w:tcPr>
          <w:p>
            <w:pPr>
              <w:ind w:left="92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gridSpan w:val="2"/>
            <w:shd w:val="clear" w:color="auto" w:fill="EEEEEE"/>
          </w:tcPr>
          <w:p>
            <w:pPr>
              <w:ind w:left="920"/>
              <w:spacing w:after="0"/>
              <w:rPr>
                <w:sz w:val="20"/>
                <w:szCs w:val="20"/>
                <w:color w:val="auto"/>
              </w:rPr>
            </w:pPr>
            <w:r>
              <w:rPr>
                <w:rFonts w:ascii="Times New Roman" w:cs="Times New Roman" w:eastAsia="Times New Roman" w:hAnsi="Times New Roman"/>
                <w:sz w:val="18"/>
                <w:szCs w:val="18"/>
                <w:color w:val="auto"/>
              </w:rPr>
              <w:t>–</w:t>
            </w:r>
          </w:p>
        </w:tc>
        <w:tc>
          <w:tcPr>
            <w:tcW w:w="2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w:t>
            </w:r>
          </w:p>
        </w:tc>
        <w:tc>
          <w:tcPr>
            <w:tcW w:w="9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1,125,416</w:t>
            </w:r>
          </w:p>
        </w:tc>
      </w:tr>
    </w:tbl>
    <w:p>
      <w:pPr>
        <w:spacing w:after="0" w:line="198" w:lineRule="exact"/>
        <w:rPr>
          <w:sz w:val="20"/>
          <w:szCs w:val="20"/>
          <w:color w:val="auto"/>
        </w:rPr>
      </w:pPr>
    </w:p>
    <w:p>
      <w:pPr>
        <w:ind w:firstLine="8"/>
        <w:spacing w:after="0" w:line="282" w:lineRule="auto"/>
        <w:tabs>
          <w:tab w:leader="none" w:pos="264"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Assumes $100 invested in our common shares on December 31, 2021, and calculated based on the difference between the share price of our common stock at the end and the beginning of the measurement period, and reinvestment of all dividends. No cash dividends were paid in 2022, 2023 or 2024.</w:t>
      </w:r>
    </w:p>
    <w:p>
      <w:pPr>
        <w:spacing w:after="0" w:line="161" w:lineRule="exact"/>
        <w:rPr>
          <w:rFonts w:ascii="Times New Roman" w:cs="Times New Roman" w:eastAsia="Times New Roman" w:hAnsi="Times New Roman"/>
          <w:sz w:val="18"/>
          <w:szCs w:val="18"/>
          <w:color w:val="auto"/>
        </w:rPr>
      </w:pPr>
    </w:p>
    <w:p>
      <w:pPr>
        <w:ind w:left="260" w:hanging="252"/>
        <w:spacing w:after="0"/>
        <w:tabs>
          <w:tab w:leader="none" w:pos="260"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dollar amounts reported represent the amount of net loss reflected in our consolidated audited financial statements for the applicable year.</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Relationship Between “Compensation Actually Paid” and Performance</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generally seek to incentivize long-term performance and therefore do not specifically align our performance measures with “compensation actually paid” (as computed in accordance with Pay Versus Performance Rules) for a particular year. In accordance with the Pay Versus Performance Rules, we are providing the following descriptions of the relationships between information presented in the Pay Versus Performance table.</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Compensation Actually Paid and Net Loss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Our company has not historically looked to net loss as a performance measure for our executive compensation program. Our net loss was $15.3 million in 2022, $18.9 million in 2023 and $14.9 million in 2024.</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Director Compensation</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following table sets forth the total compensation earned by our non-employee directors in 2024 (Mr. Climaco did not earn additional compensation during 2024 for his services on the Board, and his compensation is fully reflected in the “—Summary Compensation Table” above):</w:t>
      </w:r>
    </w:p>
    <w:p>
      <w:pPr>
        <w:spacing w:after="0" w:line="160" w:lineRule="exact"/>
        <w:rPr>
          <w:sz w:val="20"/>
          <w:szCs w:val="20"/>
          <w:color w:val="auto"/>
        </w:rPr>
      </w:pPr>
    </w:p>
    <w:tbl>
      <w:tblPr>
        <w:tblLayout w:type="fixed"/>
        <w:tblInd w:w="10" w:type="dxa"/>
        <w:tblCellMar>
          <w:top w:w="0" w:type="dxa"/>
          <w:left w:w="0" w:type="dxa"/>
          <w:bottom w:w="0" w:type="dxa"/>
          <w:right w:w="0" w:type="dxa"/>
        </w:tblCellMar>
      </w:tblPr>
      <w:tr>
        <w:trPr>
          <w:trHeight w:val="230"/>
        </w:trPr>
        <w:tc>
          <w:tcPr>
            <w:tcW w:w="2840" w:type="dxa"/>
            <w:vAlign w:val="bottom"/>
            <w:tcBorders>
              <w:top w:val="single" w:sz="8" w:color="auto"/>
              <w:left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18"/>
                <w:szCs w:val="18"/>
                <w:b w:val="1"/>
                <w:bCs w:val="1"/>
                <w:color w:val="auto"/>
              </w:rPr>
              <w:t>Name</w:t>
            </w:r>
          </w:p>
        </w:tc>
        <w:tc>
          <w:tcPr>
            <w:tcW w:w="2800" w:type="dxa"/>
            <w:vAlign w:val="bottom"/>
            <w:tcBorders>
              <w:top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Fees earned or paid in cash ($)</w:t>
            </w:r>
          </w:p>
        </w:tc>
        <w:tc>
          <w:tcPr>
            <w:tcW w:w="2820" w:type="dxa"/>
            <w:vAlign w:val="bottom"/>
            <w:tcBorders>
              <w:top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Option Awards ($) (1)</w:t>
            </w:r>
          </w:p>
        </w:tc>
        <w:tc>
          <w:tcPr>
            <w:tcW w:w="2780" w:type="dxa"/>
            <w:vAlign w:val="bottom"/>
            <w:tcBorders>
              <w:top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6"/>
              </w:rPr>
              <w:t>Total ($)</w:t>
            </w:r>
          </w:p>
        </w:tc>
      </w:tr>
      <w:tr>
        <w:trPr>
          <w:trHeight w:val="209"/>
        </w:trPr>
        <w:tc>
          <w:tcPr>
            <w:tcW w:w="2840" w:type="dxa"/>
            <w:vAlign w:val="bottom"/>
            <w:tcBorders>
              <w:left w:val="single" w:sz="8" w:color="auto"/>
              <w:bottom w:val="single" w:sz="8" w:color="auto"/>
              <w:right w:val="single" w:sz="8" w:color="auto"/>
            </w:tcBorders>
            <w:shd w:val="clear" w:color="auto" w:fill="EEEEEE"/>
          </w:tcPr>
          <w:p>
            <w:pPr>
              <w:ind w:left="20"/>
              <w:spacing w:after="0"/>
              <w:rPr>
                <w:sz w:val="20"/>
                <w:szCs w:val="20"/>
                <w:color w:val="auto"/>
              </w:rPr>
            </w:pPr>
            <w:r>
              <w:rPr>
                <w:rFonts w:ascii="Times New Roman" w:cs="Times New Roman" w:eastAsia="Times New Roman" w:hAnsi="Times New Roman"/>
                <w:sz w:val="18"/>
                <w:szCs w:val="18"/>
                <w:color w:val="auto"/>
              </w:rPr>
              <w:t>Faith L. Charles</w:t>
            </w:r>
          </w:p>
        </w:tc>
        <w:tc>
          <w:tcPr>
            <w:tcW w:w="280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78,882</w:t>
            </w:r>
          </w:p>
        </w:tc>
        <w:tc>
          <w:tcPr>
            <w:tcW w:w="282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278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78,882</w:t>
            </w:r>
          </w:p>
        </w:tc>
      </w:tr>
      <w:tr>
        <w:trPr>
          <w:trHeight w:val="210"/>
        </w:trPr>
        <w:tc>
          <w:tcPr>
            <w:tcW w:w="2840" w:type="dxa"/>
            <w:vAlign w:val="bottom"/>
            <w:tcBorders>
              <w:left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Jeff Keyes</w:t>
            </w:r>
          </w:p>
        </w:tc>
        <w:tc>
          <w:tcPr>
            <w:tcW w:w="28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59,750</w:t>
            </w:r>
          </w:p>
        </w:tc>
        <w:tc>
          <w:tcPr>
            <w:tcW w:w="28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27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59,750</w:t>
            </w:r>
          </w:p>
        </w:tc>
      </w:tr>
      <w:tr>
        <w:trPr>
          <w:trHeight w:val="210"/>
        </w:trPr>
        <w:tc>
          <w:tcPr>
            <w:tcW w:w="2840" w:type="dxa"/>
            <w:vAlign w:val="bottom"/>
            <w:tcBorders>
              <w:left w:val="single" w:sz="8" w:color="auto"/>
              <w:bottom w:val="single" w:sz="8" w:color="auto"/>
              <w:right w:val="single" w:sz="8" w:color="auto"/>
            </w:tcBorders>
            <w:shd w:val="clear" w:color="auto" w:fill="EEEEEE"/>
          </w:tcPr>
          <w:p>
            <w:pPr>
              <w:ind w:left="20"/>
              <w:spacing w:after="0"/>
              <w:rPr>
                <w:sz w:val="20"/>
                <w:szCs w:val="20"/>
                <w:color w:val="auto"/>
              </w:rPr>
            </w:pPr>
            <w:r>
              <w:rPr>
                <w:rFonts w:ascii="Times New Roman" w:cs="Times New Roman" w:eastAsia="Times New Roman" w:hAnsi="Times New Roman"/>
                <w:sz w:val="18"/>
                <w:szCs w:val="18"/>
                <w:color w:val="auto"/>
              </w:rPr>
              <w:t>Bettina Cockroft</w:t>
            </w:r>
          </w:p>
        </w:tc>
        <w:tc>
          <w:tcPr>
            <w:tcW w:w="280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52,875</w:t>
            </w:r>
          </w:p>
        </w:tc>
        <w:tc>
          <w:tcPr>
            <w:tcW w:w="282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278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52,875</w:t>
            </w:r>
          </w:p>
        </w:tc>
      </w:tr>
      <w:tr>
        <w:trPr>
          <w:trHeight w:val="210"/>
        </w:trPr>
        <w:tc>
          <w:tcPr>
            <w:tcW w:w="2840" w:type="dxa"/>
            <w:vAlign w:val="bottom"/>
            <w:tcBorders>
              <w:left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Jerzy Gumulka</w:t>
            </w:r>
          </w:p>
        </w:tc>
        <w:tc>
          <w:tcPr>
            <w:tcW w:w="28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50,925</w:t>
            </w:r>
          </w:p>
        </w:tc>
        <w:tc>
          <w:tcPr>
            <w:tcW w:w="28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27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50,925</w:t>
            </w:r>
          </w:p>
        </w:tc>
      </w:tr>
      <w:tr>
        <w:trPr>
          <w:trHeight w:val="209"/>
        </w:trPr>
        <w:tc>
          <w:tcPr>
            <w:tcW w:w="2840" w:type="dxa"/>
            <w:vAlign w:val="bottom"/>
            <w:tcBorders>
              <w:left w:val="single" w:sz="8" w:color="auto"/>
              <w:bottom w:val="single" w:sz="8" w:color="auto"/>
              <w:right w:val="single" w:sz="8" w:color="auto"/>
            </w:tcBorders>
            <w:shd w:val="clear" w:color="auto" w:fill="EEEEEE"/>
          </w:tcPr>
          <w:p>
            <w:pPr>
              <w:ind w:left="20"/>
              <w:spacing w:after="0"/>
              <w:rPr>
                <w:sz w:val="20"/>
                <w:szCs w:val="20"/>
                <w:color w:val="auto"/>
              </w:rPr>
            </w:pPr>
            <w:r>
              <w:rPr>
                <w:rFonts w:ascii="Times New Roman" w:cs="Times New Roman" w:eastAsia="Times New Roman" w:hAnsi="Times New Roman"/>
                <w:sz w:val="18"/>
                <w:szCs w:val="18"/>
                <w:color w:val="auto"/>
              </w:rPr>
              <w:t>Carl Evans</w:t>
            </w:r>
          </w:p>
        </w:tc>
        <w:tc>
          <w:tcPr>
            <w:tcW w:w="280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15,290</w:t>
            </w:r>
          </w:p>
        </w:tc>
        <w:tc>
          <w:tcPr>
            <w:tcW w:w="282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278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15,290</w:t>
            </w:r>
          </w:p>
        </w:tc>
      </w:tr>
      <w:tr>
        <w:trPr>
          <w:trHeight w:val="210"/>
        </w:trPr>
        <w:tc>
          <w:tcPr>
            <w:tcW w:w="2840" w:type="dxa"/>
            <w:vAlign w:val="bottom"/>
            <w:tcBorders>
              <w:left w:val="single" w:sz="8" w:color="auto"/>
              <w:bottom w:val="single" w:sz="8" w:color="auto"/>
              <w:right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Andy Andraczke</w:t>
            </w:r>
          </w:p>
        </w:tc>
        <w:tc>
          <w:tcPr>
            <w:tcW w:w="280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11,375</w:t>
            </w:r>
          </w:p>
        </w:tc>
        <w:tc>
          <w:tcPr>
            <w:tcW w:w="28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27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6"/>
              </w:rPr>
              <w:t>11,375</w:t>
            </w:r>
          </w:p>
        </w:tc>
      </w:tr>
      <w:tr>
        <w:trPr>
          <w:trHeight w:val="210"/>
        </w:trPr>
        <w:tc>
          <w:tcPr>
            <w:tcW w:w="2840" w:type="dxa"/>
            <w:vAlign w:val="bottom"/>
            <w:tcBorders>
              <w:left w:val="single" w:sz="8" w:color="auto"/>
              <w:bottom w:val="single" w:sz="8" w:color="auto"/>
              <w:right w:val="single" w:sz="8" w:color="auto"/>
            </w:tcBorders>
            <w:shd w:val="clear" w:color="auto" w:fill="EEEEEE"/>
          </w:tcPr>
          <w:p>
            <w:pPr>
              <w:ind w:left="20"/>
              <w:spacing w:after="0"/>
              <w:rPr>
                <w:sz w:val="20"/>
                <w:szCs w:val="20"/>
                <w:color w:val="auto"/>
              </w:rPr>
            </w:pPr>
            <w:r>
              <w:rPr>
                <w:rFonts w:ascii="Times New Roman" w:cs="Times New Roman" w:eastAsia="Times New Roman" w:hAnsi="Times New Roman"/>
                <w:sz w:val="18"/>
                <w:szCs w:val="18"/>
                <w:color w:val="auto"/>
              </w:rPr>
              <w:t>Amy Mahery</w:t>
            </w:r>
          </w:p>
        </w:tc>
        <w:tc>
          <w:tcPr>
            <w:tcW w:w="280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46,828</w:t>
            </w:r>
          </w:p>
        </w:tc>
        <w:tc>
          <w:tcPr>
            <w:tcW w:w="282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w:t>
            </w:r>
          </w:p>
        </w:tc>
        <w:tc>
          <w:tcPr>
            <w:tcW w:w="2780" w:type="dxa"/>
            <w:vAlign w:val="bottom"/>
            <w:tcBorders>
              <w:bottom w:val="single" w:sz="8" w:color="auto"/>
              <w:right w:val="single" w:sz="8" w:color="auto"/>
            </w:tcBorders>
            <w:shd w:val="clear" w:color="auto" w:fill="EEEEEE"/>
          </w:tcPr>
          <w:p>
            <w:pPr>
              <w:jc w:val="center"/>
              <w:spacing w:after="0"/>
              <w:rPr>
                <w:sz w:val="20"/>
                <w:szCs w:val="20"/>
                <w:color w:val="auto"/>
              </w:rPr>
            </w:pPr>
            <w:r>
              <w:rPr>
                <w:rFonts w:ascii="Times New Roman" w:cs="Times New Roman" w:eastAsia="Times New Roman" w:hAnsi="Times New Roman"/>
                <w:sz w:val="18"/>
                <w:szCs w:val="18"/>
                <w:color w:val="auto"/>
              </w:rPr>
              <w:t>46,828</w:t>
            </w:r>
          </w:p>
        </w:tc>
      </w:tr>
    </w:tbl>
    <w:p>
      <w:pPr>
        <w:spacing w:after="0" w:line="198" w:lineRule="exact"/>
        <w:rPr>
          <w:sz w:val="20"/>
          <w:szCs w:val="20"/>
          <w:color w:val="auto"/>
        </w:rPr>
      </w:pPr>
    </w:p>
    <w:p>
      <w:pPr>
        <w:jc w:val="both"/>
        <w:ind w:firstLine="8"/>
        <w:spacing w:after="0" w:line="258" w:lineRule="auto"/>
        <w:tabs>
          <w:tab w:leader="none" w:pos="265" w:val="left"/>
        </w:tabs>
        <w:numPr>
          <w:ilvl w:val="0"/>
          <w:numId w:val="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As of December 31, 2024, the aggregate number of shares outstanding under all options to purchase our common stock and stock awards held by our non-employee directors were: Dr. Gumulka – 1 shares underlying options and 1 shares underlying restricted stock units; Mr. Keyes – 1 shares underlying options and 7 shares underlying restricted stock units; Ms. Charles – 1 shares underlying options and 1 shares underlying restricted stock units; Ms. Cockroft – 1 shares underlying options and 1 shares underlying restricted stock units; and Ms. Mahery – 1 shares underlying options and 1 shares underlying restricted stock units.</w:t>
      </w:r>
    </w:p>
    <w:p>
      <w:pPr>
        <w:spacing w:after="0" w:line="183"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In March 2024, our compensation committee recommended to our Board and our Board approved the following policy to become effective April 1, 2024 for compensating non-employee members of the Board. Each independent director shall receive annual cash compensation of $40,000. In addition, the chairperson of the Audit Committee, Compensation Committee and Nominating and Governance Committee shall receive an annual compensation of $15,000, $12,000 and $8,000, respectively; the other members of such committees shall receive an annual compensation of $7,500, $6,000 and $4,000, respectively; and the Chair of the Board of Directors shall receive annual compensation of $30,000. In addition, each independent Director shall receive $2,500 attendance at face-to-face board meetings (no compensation for telephonic or video-conference meetings).</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23" w:name="page24"/>
    <w:bookmarkEnd w:id="23"/>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RELATED PARTY TRANSACTIONS</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For the years ended December 31, 2023 and 2024, there were no related person transactions and there are not currently any proposed related person transactions that would require disclosure under the SEC rules.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Policies and Procedures for Related Party Transactions</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Our audit committee charter provides that our audit committee is responsible for reviewing and approving in advance any related party transaction. This will cover, with certain exceptions set forth in Item 404 of Regulation S-K under the Securities Act, any transaction, arrangement or relationship, or any series of similar transactions, arrangements or relationships in which we were or are to be a participant, where the amount involved exceeds $120,000 and a related person had or will have a direct or indirect material interest, including, without limitation, purchases of goods or services by or from the related person or entities in which the related person has a material interest, indebtedness, guarantees of indebtedness and employment by us of a related person. In determining whether to approve a proposed transaction, our Audit Committee will consider all relevant facts and circumstances including: (i) the materiality and character of the related party’s direct or indirect interest; (ii) the commercial reasonableness of the terms; (iii) the benefit or perceived benefit, or lack thereof, to us; (iv) the opportunity cost of alternate transactions; and (v) the actual or apparent conflict of interest of the related party.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4" w:name="page25"/>
    <w:bookmarkEnd w:id="24"/>
    <w:p>
      <w:pPr>
        <w:jc w:val="center"/>
        <w:spacing w:after="0"/>
        <w:rPr>
          <w:sz w:val="20"/>
          <w:szCs w:val="20"/>
          <w:color w:val="auto"/>
        </w:rPr>
      </w:pPr>
      <w:r>
        <w:rPr>
          <w:rFonts w:ascii="Times New Roman" w:cs="Times New Roman" w:eastAsia="Times New Roman" w:hAnsi="Times New Roman"/>
          <w:sz w:val="18"/>
          <w:szCs w:val="18"/>
          <w:b w:val="1"/>
          <w:bCs w:val="1"/>
          <w:color w:val="auto"/>
        </w:rPr>
        <w:t>PROPOSAL 1:</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ELECTION OF DIRECTORS</w:t>
      </w:r>
    </w:p>
    <w:p>
      <w:pPr>
        <w:spacing w:after="0" w:line="207"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Our Board of Directors currently consists of six members: John Climaco, Jerzy (George) Gumulka, Jeffry R. Keyes, Faith Charles, Bettina Cockroft, and Amy Mahery. The Nominating and Corporate Governance Committee nominated, and the Board approved and recommended, John Climaco, Jerzy (George) Gumulka, Jeffry R. Keyes, Faith Charles, Bettina Cockroft, and Amy Mahery for re-election. All nominees have consented to being named herein and have indicated their intention to serve as our directors, if elected. The Board has no reason to believe that any nominee would be unable or unwilling to serve if elected. Unless authority to do so is withheld, the persons named as proxies will vote the shares represented by such proxies for the election of the named director nominees. In case any of the nominees becomes unavailable for election to the Board the persons named as proxies will have full discretion and authority to vote or refrain from voting for any other nominees in accordance with their judgment. The Board nominees, if elected, will serve until the next annual meeting of stockholders or until each successor is duly elected and qualified.</w:t>
      </w:r>
    </w:p>
    <w:p>
      <w:pPr>
        <w:spacing w:after="0" w:line="19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Biographical information for our directors is provided above in the section entitled “Information About Directors and Executive Officers.”</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Vote Required and Recommendation of the Board of Directors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 xml:space="preserve">A plurality of the eligible votes cast is required to elect director nominees, and as such, the six nominees who receive the greatest number of votes cast by stockholders, entitled to vote at the meeting, will be elected. A nominee who receives a plurality means he or she has received more votes than any other nominee for the same director’s seat. Broker non-votes will have no effect on this proposal. </w:t>
      </w:r>
      <w:r>
        <w:rPr>
          <w:rFonts w:ascii="Times New Roman" w:cs="Times New Roman" w:eastAsia="Times New Roman" w:hAnsi="Times New Roman"/>
          <w:sz w:val="18"/>
          <w:szCs w:val="18"/>
          <w:b w:val="1"/>
          <w:bCs w:val="1"/>
          <w:color w:val="auto"/>
        </w:rPr>
        <w:t>The Board recommends that stockholders vote FOR each of</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the six nominees for election to our Board of Directors.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5" w:name="page26"/>
    <w:bookmarkEnd w:id="25"/>
    <w:p>
      <w:pPr>
        <w:jc w:val="center"/>
        <w:spacing w:after="0"/>
        <w:rPr>
          <w:sz w:val="20"/>
          <w:szCs w:val="20"/>
          <w:color w:val="auto"/>
        </w:rPr>
      </w:pPr>
      <w:r>
        <w:rPr>
          <w:rFonts w:ascii="Times New Roman" w:cs="Times New Roman" w:eastAsia="Times New Roman" w:hAnsi="Times New Roman"/>
          <w:sz w:val="18"/>
          <w:szCs w:val="18"/>
          <w:b w:val="1"/>
          <w:bCs w:val="1"/>
          <w:color w:val="auto"/>
        </w:rPr>
        <w:t>PROPOSAL 2:</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TO RATIFY THE APPOINTMENT OF INDEPENDENT REGISTERED PUBLIC ACCOUNTING FIRM</w:t>
      </w:r>
    </w:p>
    <w:p>
      <w:pPr>
        <w:spacing w:after="0" w:line="20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Audit Committee has selected MaloneBailey LLP as our independent registered public accounting firm to audit our financial statements for the fiscal year ending December 31, 2025. Our stockholders are being asked to ratify this appointment. In the event that ratification of this selection of auditors is not approved by the stockholders, we will reassess our selection of auditors. Representatives of MaloneBailey LLP are expected to be present at the Annual Meeting, will be available to respond to appropriate questions, and will have the opportunity to make a statement at the Annual Meeting.</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Aggregate fees for professional services rendered by MaloneBailey, LLP for their services for the fiscal years ended December 31, 2024 and 2023, respectively, were as follows:</w:t>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4540" w:type="dxa"/>
            <w:vAlign w:val="bottom"/>
          </w:tcPr>
          <w:p>
            <w:pPr>
              <w:spacing w:after="0"/>
              <w:rPr>
                <w:sz w:val="20"/>
                <w:szCs w:val="20"/>
                <w:color w:val="auto"/>
              </w:rPr>
            </w:pPr>
          </w:p>
        </w:tc>
        <w:tc>
          <w:tcPr>
            <w:tcW w:w="422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2024</w:t>
            </w:r>
          </w:p>
        </w:tc>
        <w:tc>
          <w:tcPr>
            <w:tcW w:w="5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1220" w:type="dxa"/>
            <w:vAlign w:val="bottom"/>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2023</w:t>
            </w:r>
          </w:p>
        </w:tc>
        <w:tc>
          <w:tcPr>
            <w:tcW w:w="100" w:type="dxa"/>
            <w:vAlign w:val="bottom"/>
          </w:tcPr>
          <w:p>
            <w:pPr>
              <w:spacing w:after="0"/>
              <w:rPr>
                <w:sz w:val="20"/>
                <w:szCs w:val="20"/>
                <w:color w:val="auto"/>
              </w:rPr>
            </w:pPr>
          </w:p>
        </w:tc>
      </w:tr>
      <w:tr>
        <w:trPr>
          <w:trHeight w:val="209"/>
        </w:trPr>
        <w:tc>
          <w:tcPr>
            <w:tcW w:w="454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Audit Fees</w:t>
            </w:r>
          </w:p>
        </w:tc>
        <w:tc>
          <w:tcPr>
            <w:tcW w:w="3240" w:type="dxa"/>
            <w:vAlign w:val="bottom"/>
            <w:tcBorders>
              <w:top w:val="single" w:sz="8" w:color="EEEEEE"/>
            </w:tcBorders>
            <w:shd w:val="clear" w:color="auto" w:fill="EEEEEE"/>
          </w:tcPr>
          <w:p>
            <w:pPr>
              <w:spacing w:after="0"/>
              <w:rPr>
                <w:sz w:val="18"/>
                <w:szCs w:val="18"/>
                <w:color w:val="auto"/>
              </w:rPr>
            </w:pPr>
          </w:p>
        </w:tc>
        <w:tc>
          <w:tcPr>
            <w:tcW w:w="980" w:type="dxa"/>
            <w:vAlign w:val="bottom"/>
            <w:tcBorders>
              <w:top w:val="single" w:sz="8" w:color="auto"/>
            </w:tcBorders>
            <w:shd w:val="clear" w:color="auto" w:fill="EEEEEE"/>
          </w:tcPr>
          <w:p>
            <w:pPr>
              <w:jc w:val="right"/>
              <w:ind w:right="816"/>
              <w:spacing w:after="0"/>
              <w:rPr>
                <w:sz w:val="20"/>
                <w:szCs w:val="20"/>
                <w:color w:val="auto"/>
              </w:rPr>
            </w:pPr>
            <w:r>
              <w:rPr>
                <w:rFonts w:ascii="Times New Roman" w:cs="Times New Roman" w:eastAsia="Times New Roman" w:hAnsi="Times New Roman"/>
                <w:sz w:val="17"/>
                <w:szCs w:val="17"/>
                <w:color w:val="auto"/>
                <w:w w:val="70"/>
              </w:rPr>
              <w:t>$</w:t>
            </w:r>
          </w:p>
        </w:tc>
        <w:tc>
          <w:tcPr>
            <w:tcW w:w="5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95"/>
              </w:rPr>
              <w:t>130,000</w:t>
            </w:r>
          </w:p>
        </w:tc>
        <w:tc>
          <w:tcPr>
            <w:tcW w:w="220" w:type="dxa"/>
            <w:vAlign w:val="bottom"/>
            <w:tcBorders>
              <w:top w:val="single" w:sz="8" w:color="EEEEEE"/>
            </w:tcBorders>
            <w:shd w:val="clear" w:color="auto" w:fill="EEEEEE"/>
          </w:tcPr>
          <w:p>
            <w:pPr>
              <w:spacing w:after="0"/>
              <w:rPr>
                <w:sz w:val="18"/>
                <w:szCs w:val="18"/>
                <w:color w:val="auto"/>
              </w:rPr>
            </w:pPr>
          </w:p>
        </w:tc>
        <w:tc>
          <w:tcPr>
            <w:tcW w:w="360" w:type="dxa"/>
            <w:vAlign w:val="bottom"/>
            <w:tcBorders>
              <w:top w:val="single" w:sz="8" w:color="auto"/>
            </w:tcBorders>
            <w:shd w:val="clear" w:color="auto" w:fill="EEEEEE"/>
          </w:tcPr>
          <w:p>
            <w:pPr>
              <w:jc w:val="right"/>
              <w:ind w:right="17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126,000</w:t>
            </w:r>
          </w:p>
        </w:tc>
        <w:tc>
          <w:tcPr>
            <w:tcW w:w="100" w:type="dxa"/>
            <w:vAlign w:val="bottom"/>
            <w:tcBorders>
              <w:top w:val="single" w:sz="8" w:color="EEEEEE"/>
            </w:tcBorders>
            <w:shd w:val="clear" w:color="auto" w:fill="EEEEEE"/>
          </w:tcPr>
          <w:p>
            <w:pPr>
              <w:spacing w:after="0"/>
              <w:rPr>
                <w:sz w:val="18"/>
                <w:szCs w:val="18"/>
                <w:color w:val="auto"/>
              </w:rPr>
            </w:pPr>
          </w:p>
        </w:tc>
      </w:tr>
      <w:tr>
        <w:trPr>
          <w:trHeight w:val="216"/>
        </w:trPr>
        <w:tc>
          <w:tcPr>
            <w:tcW w:w="4540" w:type="dxa"/>
            <w:vAlign w:val="bottom"/>
          </w:tcPr>
          <w:p>
            <w:pPr>
              <w:spacing w:after="0"/>
              <w:rPr>
                <w:sz w:val="20"/>
                <w:szCs w:val="20"/>
                <w:color w:val="auto"/>
              </w:rPr>
            </w:pPr>
            <w:r>
              <w:rPr>
                <w:rFonts w:ascii="Times New Roman" w:cs="Times New Roman" w:eastAsia="Times New Roman" w:hAnsi="Times New Roman"/>
                <w:sz w:val="18"/>
                <w:szCs w:val="18"/>
                <w:color w:val="auto"/>
              </w:rPr>
              <w:t>Audit-related fees</w:t>
            </w:r>
          </w:p>
        </w:tc>
        <w:tc>
          <w:tcPr>
            <w:tcW w:w="32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w w:val="99"/>
              </w:rPr>
              <w:t>167,000</w:t>
            </w:r>
          </w:p>
        </w:tc>
        <w:tc>
          <w:tcPr>
            <w:tcW w:w="360" w:type="dxa"/>
            <w:vAlign w:val="bottom"/>
          </w:tcPr>
          <w:p>
            <w:pPr>
              <w:spacing w:after="0"/>
              <w:rPr>
                <w:sz w:val="18"/>
                <w:szCs w:val="18"/>
                <w:color w:val="auto"/>
              </w:rPr>
            </w:pPr>
          </w:p>
        </w:tc>
        <w:tc>
          <w:tcPr>
            <w:tcW w:w="13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25,000</w:t>
            </w:r>
          </w:p>
        </w:tc>
      </w:tr>
      <w:tr>
        <w:trPr>
          <w:trHeight w:val="216"/>
        </w:trPr>
        <w:tc>
          <w:tcPr>
            <w:tcW w:w="454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Tax fees</w:t>
            </w:r>
          </w:p>
        </w:tc>
        <w:tc>
          <w:tcPr>
            <w:tcW w:w="3240" w:type="dxa"/>
            <w:vAlign w:val="bottom"/>
            <w:shd w:val="clear" w:color="auto" w:fill="EEEEEE"/>
          </w:tcPr>
          <w:p>
            <w:pPr>
              <w:spacing w:after="0"/>
              <w:rPr>
                <w:sz w:val="18"/>
                <w:szCs w:val="18"/>
                <w:color w:val="auto"/>
              </w:rPr>
            </w:pPr>
          </w:p>
        </w:tc>
        <w:tc>
          <w:tcPr>
            <w:tcW w:w="980" w:type="dxa"/>
            <w:vAlign w:val="bottom"/>
            <w:shd w:val="clear" w:color="auto" w:fill="EEEEEE"/>
          </w:tcPr>
          <w:p>
            <w:pPr>
              <w:spacing w:after="0"/>
              <w:rPr>
                <w:sz w:val="18"/>
                <w:szCs w:val="18"/>
                <w:color w:val="auto"/>
              </w:rPr>
            </w:pPr>
          </w:p>
        </w:tc>
        <w:tc>
          <w:tcPr>
            <w:tcW w:w="800" w:type="dxa"/>
            <w:vAlign w:val="bottom"/>
            <w:gridSpan w:val="2"/>
            <w:shd w:val="clear" w:color="auto" w:fill="EEEEEE"/>
          </w:tcPr>
          <w:p>
            <w:pPr>
              <w:jc w:val="right"/>
              <w:ind w:right="200"/>
              <w:spacing w:after="0"/>
              <w:rPr>
                <w:sz w:val="20"/>
                <w:szCs w:val="20"/>
                <w:color w:val="auto"/>
              </w:rPr>
            </w:pPr>
            <w:r>
              <w:rPr>
                <w:rFonts w:ascii="Times New Roman" w:cs="Times New Roman" w:eastAsia="Times New Roman" w:hAnsi="Times New Roman"/>
                <w:sz w:val="18"/>
                <w:szCs w:val="18"/>
                <w:color w:val="auto"/>
              </w:rPr>
              <w:t>11,600</w:t>
            </w:r>
          </w:p>
        </w:tc>
        <w:tc>
          <w:tcPr>
            <w:tcW w:w="360" w:type="dxa"/>
            <w:vAlign w:val="bottom"/>
            <w:shd w:val="clear" w:color="auto" w:fill="EEEEEE"/>
          </w:tcPr>
          <w:p>
            <w:pPr>
              <w:spacing w:after="0"/>
              <w:rPr>
                <w:sz w:val="18"/>
                <w:szCs w:val="18"/>
                <w:color w:val="auto"/>
              </w:rPr>
            </w:pPr>
          </w:p>
        </w:tc>
        <w:tc>
          <w:tcPr>
            <w:tcW w:w="132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8"/>
                <w:szCs w:val="18"/>
                <w:color w:val="auto"/>
              </w:rPr>
              <w:t>11,300</w:t>
            </w:r>
          </w:p>
        </w:tc>
      </w:tr>
      <w:tr>
        <w:trPr>
          <w:trHeight w:val="216"/>
        </w:trPr>
        <w:tc>
          <w:tcPr>
            <w:tcW w:w="4540" w:type="dxa"/>
            <w:vAlign w:val="bottom"/>
          </w:tcPr>
          <w:p>
            <w:pPr>
              <w:spacing w:after="0"/>
              <w:rPr>
                <w:sz w:val="20"/>
                <w:szCs w:val="20"/>
                <w:color w:val="auto"/>
              </w:rPr>
            </w:pPr>
            <w:r>
              <w:rPr>
                <w:rFonts w:ascii="Times New Roman" w:cs="Times New Roman" w:eastAsia="Times New Roman" w:hAnsi="Times New Roman"/>
                <w:sz w:val="18"/>
                <w:szCs w:val="18"/>
                <w:color w:val="auto"/>
              </w:rPr>
              <w:t>All other fees</w:t>
            </w:r>
          </w:p>
        </w:tc>
        <w:tc>
          <w:tcPr>
            <w:tcW w:w="32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0</w:t>
            </w:r>
          </w:p>
        </w:tc>
        <w:tc>
          <w:tcPr>
            <w:tcW w:w="360" w:type="dxa"/>
            <w:vAlign w:val="bottom"/>
          </w:tcPr>
          <w:p>
            <w:pPr>
              <w:spacing w:after="0"/>
              <w:rPr>
                <w:sz w:val="18"/>
                <w:szCs w:val="18"/>
                <w:color w:val="auto"/>
              </w:rPr>
            </w:pPr>
          </w:p>
        </w:tc>
        <w:tc>
          <w:tcPr>
            <w:tcW w:w="132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0</w:t>
            </w:r>
          </w:p>
        </w:tc>
      </w:tr>
      <w:tr>
        <w:trPr>
          <w:trHeight w:val="209"/>
        </w:trPr>
        <w:tc>
          <w:tcPr>
            <w:tcW w:w="454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TOTAL</w:t>
            </w:r>
          </w:p>
        </w:tc>
        <w:tc>
          <w:tcPr>
            <w:tcW w:w="3240" w:type="dxa"/>
            <w:vAlign w:val="bottom"/>
            <w:tcBorders>
              <w:top w:val="single" w:sz="8" w:color="EEEEEE"/>
              <w:bottom w:val="single" w:sz="8" w:color="EEEEEE"/>
            </w:tcBorders>
            <w:shd w:val="clear" w:color="auto" w:fill="EEEEEE"/>
          </w:tcPr>
          <w:p>
            <w:pPr>
              <w:spacing w:after="0"/>
              <w:rPr>
                <w:sz w:val="18"/>
                <w:szCs w:val="18"/>
                <w:color w:val="auto"/>
              </w:rPr>
            </w:pPr>
          </w:p>
        </w:tc>
        <w:tc>
          <w:tcPr>
            <w:tcW w:w="980" w:type="dxa"/>
            <w:vAlign w:val="bottom"/>
            <w:tcBorders>
              <w:top w:val="single" w:sz="8" w:color="auto"/>
              <w:bottom w:val="single" w:sz="8" w:color="auto"/>
            </w:tcBorders>
            <w:shd w:val="clear" w:color="auto" w:fill="EEEEEE"/>
          </w:tcPr>
          <w:p>
            <w:pPr>
              <w:jc w:val="right"/>
              <w:ind w:right="816"/>
              <w:spacing w:after="0"/>
              <w:rPr>
                <w:sz w:val="20"/>
                <w:szCs w:val="20"/>
                <w:color w:val="auto"/>
              </w:rPr>
            </w:pPr>
            <w:r>
              <w:rPr>
                <w:rFonts w:ascii="Times New Roman" w:cs="Times New Roman" w:eastAsia="Times New Roman" w:hAnsi="Times New Roman"/>
                <w:sz w:val="17"/>
                <w:szCs w:val="17"/>
                <w:color w:val="auto"/>
                <w:w w:val="70"/>
              </w:rPr>
              <w:t>$</w:t>
            </w:r>
          </w:p>
        </w:tc>
        <w:tc>
          <w:tcPr>
            <w:tcW w:w="5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95"/>
              </w:rPr>
              <w:t>308,600</w:t>
            </w:r>
          </w:p>
        </w:tc>
        <w:tc>
          <w:tcPr>
            <w:tcW w:w="220" w:type="dxa"/>
            <w:vAlign w:val="bottom"/>
            <w:tcBorders>
              <w:top w:val="single" w:sz="8" w:color="EEEEEE"/>
              <w:bottom w:val="single" w:sz="8" w:color="EEEEEE"/>
            </w:tcBorders>
            <w:shd w:val="clear" w:color="auto" w:fill="EEEEEE"/>
          </w:tcPr>
          <w:p>
            <w:pPr>
              <w:spacing w:after="0"/>
              <w:rPr>
                <w:sz w:val="18"/>
                <w:szCs w:val="18"/>
                <w:color w:val="auto"/>
              </w:rPr>
            </w:pPr>
          </w:p>
        </w:tc>
        <w:tc>
          <w:tcPr>
            <w:tcW w:w="360" w:type="dxa"/>
            <w:vAlign w:val="bottom"/>
            <w:tcBorders>
              <w:top w:val="single" w:sz="8" w:color="auto"/>
              <w:bottom w:val="single" w:sz="8" w:color="auto"/>
            </w:tcBorders>
            <w:shd w:val="clear" w:color="auto" w:fill="EEEEEE"/>
          </w:tcPr>
          <w:p>
            <w:pPr>
              <w:jc w:val="right"/>
              <w:ind w:right="170"/>
              <w:spacing w:after="0"/>
              <w:rPr>
                <w:sz w:val="20"/>
                <w:szCs w:val="20"/>
                <w:color w:val="auto"/>
              </w:rPr>
            </w:pPr>
            <w:r>
              <w:rPr>
                <w:rFonts w:ascii="Times New Roman" w:cs="Times New Roman" w:eastAsia="Times New Roman" w:hAnsi="Times New Roman"/>
                <w:sz w:val="18"/>
                <w:szCs w:val="18"/>
                <w:color w:val="auto"/>
                <w:w w:val="88"/>
              </w:rPr>
              <w:t>$</w:t>
            </w:r>
          </w:p>
        </w:tc>
        <w:tc>
          <w:tcPr>
            <w:tcW w:w="12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162,300</w:t>
            </w:r>
          </w:p>
        </w:tc>
        <w:tc>
          <w:tcPr>
            <w:tcW w:w="100" w:type="dxa"/>
            <w:vAlign w:val="bottom"/>
            <w:tcBorders>
              <w:top w:val="single" w:sz="8" w:color="EEEEEE"/>
              <w:bottom w:val="single" w:sz="8" w:color="EEEEEE"/>
            </w:tcBorders>
            <w:shd w:val="clear" w:color="auto" w:fill="EEEEEE"/>
          </w:tcPr>
          <w:p>
            <w:pPr>
              <w:spacing w:after="0"/>
              <w:rPr>
                <w:sz w:val="18"/>
                <w:szCs w:val="18"/>
                <w:color w:val="auto"/>
              </w:rPr>
            </w:pPr>
          </w:p>
        </w:tc>
      </w:tr>
      <w:tr>
        <w:trPr>
          <w:trHeight w:val="20"/>
        </w:trPr>
        <w:tc>
          <w:tcPr>
            <w:tcW w:w="4540" w:type="dxa"/>
            <w:vAlign w:val="bottom"/>
          </w:tcPr>
          <w:p>
            <w:pPr>
              <w:spacing w:after="0" w:line="20" w:lineRule="exact"/>
              <w:rPr>
                <w:sz w:val="1"/>
                <w:szCs w:val="1"/>
                <w:color w:val="auto"/>
              </w:rPr>
            </w:pPr>
          </w:p>
        </w:tc>
        <w:tc>
          <w:tcPr>
            <w:tcW w:w="32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Audit Fees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Audit fees represent the aggregate fees billed for professional services rendered by our independent accounting firm for the audit of our annual financial statements, review of financial statements included in our quarterly reports, review of registration statements or services that are normally provided in connection with statutory and regulatory filings or engagements for those fiscal years.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Audit-Related Fees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Audit-related fees represent the aggregate fees billed for assurance and related services that are reasonably related to the performance of the audit or review of our financial statements and are not reported under Audit Fees.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Tax Fees</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Tax fees represent the aggregate fees billed for professional services rendered by our principal accountants for tax compliance, tax advice, and tax planning for such years.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All Other Fees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All other fees represent the aggregate fees billed for products and services other than the services reported in the other categories.</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Audit Committee Pre-Approval Policies and Procedures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Audit Committee on an annual basis reviews audit and non-audit services performed by the independent auditors. All audit and non-audit services are pre-approved by the Audit Committee, which considers, among other things, the possible effect of the performance of such services on the auditors’ independence.</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Vote Required and Recommendation of the Board of Directors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 xml:space="preserve">Proposal 2 shall be approved if the number of votes cast in favor of the action exceed the number of votes cast against the action. Broker non-votes and abstentions will not be taken into account in determining the outcome of the proposal. </w:t>
      </w:r>
      <w:r>
        <w:rPr>
          <w:rFonts w:ascii="Times New Roman" w:cs="Times New Roman" w:eastAsia="Times New Roman" w:hAnsi="Times New Roman"/>
          <w:sz w:val="18"/>
          <w:szCs w:val="18"/>
          <w:b w:val="1"/>
          <w:bCs w:val="1"/>
          <w:color w:val="auto"/>
        </w:rPr>
        <w:t>The Board recommends that stockholders vote FOR the</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ratification of the appointment of MaloneBailey, LLP as our independent registered public accounting firm for the fiscal year ending December 31, 2025.</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6" w:name="page27"/>
    <w:bookmarkEnd w:id="26"/>
    <w:p>
      <w:pPr>
        <w:jc w:val="center"/>
        <w:spacing w:after="0"/>
        <w:rPr>
          <w:sz w:val="20"/>
          <w:szCs w:val="20"/>
          <w:color w:val="auto"/>
        </w:rPr>
      </w:pPr>
      <w:r>
        <w:rPr>
          <w:rFonts w:ascii="Times New Roman" w:cs="Times New Roman" w:eastAsia="Times New Roman" w:hAnsi="Times New Roman"/>
          <w:sz w:val="18"/>
          <w:szCs w:val="18"/>
          <w:b w:val="1"/>
          <w:bCs w:val="1"/>
          <w:color w:val="auto"/>
        </w:rPr>
        <w:t>PROPOSAL 3:</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TO VOTE ON A NON-BINDING, ADVISORY RESOLUTION TO APPROVE EXECUTIVE COMPENSATION</w:t>
      </w:r>
    </w:p>
    <w:p>
      <w:pPr>
        <w:spacing w:after="0" w:line="20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As required by Section 951 of the Dodd-Frank Wall Street Reform and Consumer Protection Act and Section 14A of the Securities Exchange Act of 1934, as amended (the “Exchange Act”), our Board is requesting stockholders to vote, on a non-binding advisory basis, to approve the compensation paid to our named executive officers, as disclosed in this proxy statement. This proposal, commonly known as a “say-on-pay” proposal, gives stockholders the opportunity to express their views on the compensation of our named executive officers.</w:t>
      </w:r>
    </w:p>
    <w:p>
      <w:pPr>
        <w:spacing w:after="0" w:line="180"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This vote is not intended to address any specific item of compensation, but rather the overall compensation of our named executive officers and our executive compensation philosophy, policies and practices described in this proxy statement. The overall compensation of our named executive officers subject to the vote is disclosed in this proxy statement in the subsections entitled “Executive Officer Compensation,” “Narrative Disclosure to Summary Compensation Table,” “Outstanding Equity Awards,” and “Employment Agreements” in the section entitled “Compensation of Directors and Executive Officers” above.</w:t>
      </w:r>
    </w:p>
    <w:p>
      <w:pPr>
        <w:spacing w:after="0" w:line="183"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Our Compensation Committee continually reviews our executive compensation program to determine whether such program achieves our desired goals of aligning our executive compensation strategy and structure with our stockholders’ interests and current market practices. Our executive compensation strategy and structure is designed to motivate our executive management team to create long-term value for our stockholders through the achievement of strategic business objectives, while effectively managing the risks and challenges inherent in a clinical stage pharmaceutical company. As our long-term success depends on the talents of our employees, our compensation structure plays a significant role in our ability to attract, retain and motivate the highest quality workforce in a competitive employment environment.</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Advisory Vote</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recommend stockholder approval of the compensation of our named executive officers for the 2024 fiscal year as disclosed in this proxy statement pursuant to the SEC’s compensation disclosure rules.</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Accordingly, the Board recommends that stockholders vote in favor of the following resolution:</w:t>
      </w:r>
    </w:p>
    <w:p>
      <w:pPr>
        <w:spacing w:after="0" w:line="225" w:lineRule="exact"/>
        <w:rPr>
          <w:sz w:val="20"/>
          <w:szCs w:val="20"/>
          <w:color w:val="auto"/>
        </w:rPr>
      </w:pPr>
    </w:p>
    <w:p>
      <w:pPr>
        <w:jc w:val="both"/>
        <w:ind w:right="20" w:firstLine="648"/>
        <w:spacing w:after="0" w:line="282" w:lineRule="auto"/>
        <w:rPr>
          <w:sz w:val="20"/>
          <w:szCs w:val="20"/>
          <w:color w:val="auto"/>
        </w:rPr>
      </w:pPr>
      <w:r>
        <w:rPr>
          <w:rFonts w:ascii="Times New Roman" w:cs="Times New Roman" w:eastAsia="Times New Roman" w:hAnsi="Times New Roman"/>
          <w:sz w:val="18"/>
          <w:szCs w:val="18"/>
          <w:color w:val="auto"/>
        </w:rPr>
        <w:t>“RESOLVED, that the compensation paid to the named executive officers of CNS Pharmaceuticals, Inc., as disclosed pursuant to Item 402 of Regulation S-K, including the compensation tables and narrative discussion is hereby APPROVED.”</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As this is an advisory vote, the outcome of the vote is non-binding on us with respect to future executive compensation decisions, including those related to our named executive officers. However, our Board and Compensation Committee will review the results of the vote and take them into account when considering future executive compensation policies and decisions.</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If Proposal 4 is approved, unless the Board modifies its policy on the frequency of future advisory votes on the compensation of our named executive officers, the next advisory vote on the compensation of our named executive officers will be held at our next annual meeting of stockholders.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Vote Required and Recommendation of the Board of Directors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 xml:space="preserve">Proposal 3 shall be approved if the number of votes cast in favor of the action exceed the number of votes cast against the action. Broker non-votes and abstentions will not be taken into account in determining the outcome of the proposal. </w:t>
      </w:r>
      <w:r>
        <w:rPr>
          <w:rFonts w:ascii="Times New Roman" w:cs="Times New Roman" w:eastAsia="Times New Roman" w:hAnsi="Times New Roman"/>
          <w:sz w:val="18"/>
          <w:szCs w:val="18"/>
          <w:b w:val="1"/>
          <w:bCs w:val="1"/>
          <w:color w:val="auto"/>
        </w:rPr>
        <w:t>The Board recommends that stockholders vote FOR the non-binding, advisory resolution to approve executive compensation.</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7" w:name="page28"/>
    <w:bookmarkEnd w:id="27"/>
    <w:p>
      <w:pPr>
        <w:jc w:val="center"/>
        <w:spacing w:after="0"/>
        <w:rPr>
          <w:sz w:val="20"/>
          <w:szCs w:val="20"/>
          <w:color w:val="auto"/>
        </w:rPr>
      </w:pPr>
      <w:r>
        <w:rPr>
          <w:rFonts w:ascii="Times New Roman" w:cs="Times New Roman" w:eastAsia="Times New Roman" w:hAnsi="Times New Roman"/>
          <w:sz w:val="18"/>
          <w:szCs w:val="18"/>
          <w:b w:val="1"/>
          <w:bCs w:val="1"/>
          <w:color w:val="auto"/>
        </w:rPr>
        <w:t>PROPOSAL 4:</w:t>
      </w:r>
    </w:p>
    <w:p>
      <w:pPr>
        <w:spacing w:after="0" w:line="31" w:lineRule="exact"/>
        <w:rPr>
          <w:sz w:val="20"/>
          <w:szCs w:val="20"/>
          <w:color w:val="auto"/>
        </w:rPr>
      </w:pPr>
    </w:p>
    <w:p>
      <w:pPr>
        <w:jc w:val="center"/>
        <w:ind w:left="340" w:right="420"/>
        <w:spacing w:after="0" w:line="260" w:lineRule="auto"/>
        <w:rPr>
          <w:sz w:val="20"/>
          <w:szCs w:val="20"/>
          <w:color w:val="auto"/>
        </w:rPr>
      </w:pPr>
      <w:r>
        <w:rPr>
          <w:rFonts w:ascii="Times New Roman" w:cs="Times New Roman" w:eastAsia="Times New Roman" w:hAnsi="Times New Roman"/>
          <w:sz w:val="18"/>
          <w:szCs w:val="18"/>
          <w:b w:val="1"/>
          <w:bCs w:val="1"/>
          <w:color w:val="auto"/>
        </w:rPr>
        <w:t>TO VOTE ON A NON-BINDING, ADVISORY PROPOSAL ON THE FREQUENCY OF HOLDING FUTURE VOTES REGARDING EXECUTIVE COMPENSATION</w:t>
      </w:r>
    </w:p>
    <w:p>
      <w:pPr>
        <w:spacing w:after="0" w:line="181"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Pursuant to Section 14A of the Exchange Act, we are required to provide our stockholders with the opportunity to vote, on a non-binding, advisory basis, for their preference as to how frequently to hold future votes to approve, on a nonbinding, advisory basis, the compensation of our named executive officers, which we refer to as the “say-on-pay vote”). Stockholders may indicate whether they would prefer that we conduct future say-on-pay votes once every one, two, or three years. Stockholders also may abstain from casting a vote on this proposal.</w:t>
      </w:r>
    </w:p>
    <w:p>
      <w:pPr>
        <w:spacing w:after="0" w:line="180"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Our Board of Directors has determined that an advisory vote on executive compensation every year will permit our stockholders to provide direct input on our executive compensation philosophy, policies, and practices as disclosed in this proxy statement, on a regular basis. This approach is consistent with our efforts to engage in an ongoing dialogue with our stockholders on executive compensation and corporate governance matters. An advisory vote on executive compensation occurring every year will provide our stockholders the opportunity to provide the next advisory vote on executive compensation at our next Annual Meeting of Stockholders.</w:t>
      </w:r>
    </w:p>
    <w:p>
      <w:pPr>
        <w:spacing w:after="0" w:line="183"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This vote is advisory, which means that the vote on executive compensation is not binding on the company, our Board of Directors, or the Compensation Committee of the Board of Directors. We recognize that stockholders may have different views as to the best approach for the Company, and therefore we look forward to hearing from our stockholders as to their preferences on the frequency of an advisory vote on executive compensation. Our Board of Directors and Compensation Committee will take into account the outcome of the vote; however, when considering the frequency of future say-on-pay votes, our Board of Directors may decide that it is in the best interests of our stockholders and the Company to hold future say-on-pay votes more or less frequently than the frequency receiving the most votes cast by our stockholders.</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Vote Required and Recommendation of the Board of Directors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 xml:space="preserve">Proposal 4 shall be approved if the number of votes cast in favor of the action exceed the number of votes cast against the action. Broker non-votes and abstentions will not be taken into account in determining the outcome of the proposal. </w:t>
      </w:r>
      <w:r>
        <w:rPr>
          <w:rFonts w:ascii="Times New Roman" w:cs="Times New Roman" w:eastAsia="Times New Roman" w:hAnsi="Times New Roman"/>
          <w:sz w:val="18"/>
          <w:szCs w:val="18"/>
          <w:b w:val="1"/>
          <w:bCs w:val="1"/>
          <w:color w:val="auto"/>
        </w:rPr>
        <w:t>The Board recommends that stockholders vote FOR the option</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of a vote every year as the preferred frequency for future say-on-pay votes.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8" w:name="page29"/>
    <w:bookmarkEnd w:id="28"/>
    <w:p>
      <w:pPr>
        <w:jc w:val="center"/>
        <w:spacing w:after="0"/>
        <w:rPr>
          <w:sz w:val="20"/>
          <w:szCs w:val="20"/>
          <w:color w:val="auto"/>
        </w:rPr>
      </w:pPr>
      <w:r>
        <w:rPr>
          <w:rFonts w:ascii="Times New Roman" w:cs="Times New Roman" w:eastAsia="Times New Roman" w:hAnsi="Times New Roman"/>
          <w:sz w:val="18"/>
          <w:szCs w:val="18"/>
          <w:b w:val="1"/>
          <w:bCs w:val="1"/>
          <w:color w:val="auto"/>
        </w:rPr>
        <w:t>PROPOSAL 5:</w:t>
      </w:r>
    </w:p>
    <w:p>
      <w:pPr>
        <w:spacing w:after="0" w:line="31" w:lineRule="exact"/>
        <w:rPr>
          <w:sz w:val="20"/>
          <w:szCs w:val="20"/>
          <w:color w:val="auto"/>
        </w:rPr>
      </w:pPr>
    </w:p>
    <w:p>
      <w:pPr>
        <w:jc w:val="center"/>
        <w:spacing w:after="0" w:line="253" w:lineRule="auto"/>
        <w:rPr>
          <w:sz w:val="20"/>
          <w:szCs w:val="20"/>
          <w:color w:val="auto"/>
        </w:rPr>
      </w:pPr>
      <w:r>
        <w:rPr>
          <w:rFonts w:ascii="Times New Roman" w:cs="Times New Roman" w:eastAsia="Times New Roman" w:hAnsi="Times New Roman"/>
          <w:sz w:val="18"/>
          <w:szCs w:val="18"/>
          <w:b w:val="1"/>
          <w:bCs w:val="1"/>
          <w:color w:val="auto"/>
        </w:rPr>
        <w:t>APPROVAL OF AMENDMENT TO THE COMPANY’S AMENDED AND RESTATED ARTICLES OF INCORPORATION TO INCREASE THE TOTAL NUMBER OF AUTHORIZED NUMBER OF SHARES OF COMMON STOCK FROM 25,000,000 SHARES TO 300,000,000 SHARES AND THE TOTAL NUMBER OF AUTHORIZED SHARES OF PREFERRED STOCK FROM 416,667 SHARES TO 5,000,000 SHARES.</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General</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 xml:space="preserve">Our Board is recommending that our stockholders approve a proposed amendment to our Amended and Restated Articles of Incorporation in substantially the form attached hereto as </w:t>
      </w:r>
      <w:r>
        <w:rPr>
          <w:rFonts w:ascii="Times New Roman" w:cs="Times New Roman" w:eastAsia="Times New Roman" w:hAnsi="Times New Roman"/>
          <w:sz w:val="18"/>
          <w:szCs w:val="18"/>
          <w:u w:val="single" w:color="auto"/>
          <w:color w:val="auto"/>
        </w:rPr>
        <w:t>Annex A</w:t>
      </w:r>
      <w:r>
        <w:rPr>
          <w:rFonts w:ascii="Times New Roman" w:cs="Times New Roman" w:eastAsia="Times New Roman" w:hAnsi="Times New Roman"/>
          <w:sz w:val="18"/>
          <w:szCs w:val="18"/>
          <w:color w:val="auto"/>
        </w:rPr>
        <w:t xml:space="preserve"> (the “Share Increase Amendment”), providing for an increase in the number of our common voting shares, having a par value of $0.001 per share, from 25,000,000 to 300,000,000 and the total number of authorized shares of preferred stock from 416,667 shares to 5,000,000 shares. If adopted and approved by the stockholders, the Share Increase Amendment will become effective upon the filing with the Secretary of State of the State of Nevada. If the Share Increase Amendment is approved by stockholders at the Annual Meeting, we intend to file the Share Increase Amendment as soon as practicable following the Annual Meeting.</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Purposes of the Proposed Amendment</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On July 17, 2025, we filed with the Secretary of State of the State of Nevada a Certificate of Change, pursuant to Nevada Revised Statutes 78.209, to effect a one-for-twelve (1-for-12) reverse stock split (the “Reverse Split”) of our issued and outstanding common stock. The Reverse Split became effective on July 22, 2025. Pursuant to the Nevada Revised Statutes 78.207, our board of directors had the authority to effect the Reverse Split without stockholder approval if the number of authorized shares of common stock and the number of outstanding shares of preferred stock were proportionally reduced.</w:t>
      </w:r>
    </w:p>
    <w:p>
      <w:pPr>
        <w:spacing w:after="0" w:line="180"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As a result of the Reverse Split, each twelve pre-split shares of common stock outstanding was automatically combined into one new share of common stock without any action on the part of the holders. The number of authorized shares of common stock was proportionately reduced from 300,000,000 to 25,000,000, while the number of authorized shares of preferred stock was reduced from 5,000,000 to 416,667. The purpose of this Proposal 5 is to amend our Amended and Restated Articles of Incorporation to increase our authorized shares of common stock and preferred stock to their pre-Reverse Split levels.</w:t>
      </w:r>
    </w:p>
    <w:p>
      <w:pPr>
        <w:spacing w:after="0" w:line="183"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We do not have any present plan, arrangement or understanding to designate and issue any of the shares of common stock or preferred stock that will become available as a result of the Share Increase Amendment. Although, at present, our Board has no immediate plans to issue the additional shares of common stock or preferred stock, it desires to have the shares available to provide additional flexibility to use our common stock or preferred stock for business and financial purposes in the future. The additional 275,000,000 authorized shares of common stock and 4,583,333 shares of preferred stock would be available for issuance for various purposes, as our Board may deem advisable, such as for future financings, to satisfy the issuance of shares of common stock or preferred stock on the conversion or exercise of our options, warrants, convertible notes, or other convertible securities, to provide equity incentive to employees, consultants, officers and directors, to make stock-based acquisitions and for other general corporate purposes. Furthermore, we may utilize our securities to make future acquisitions. Acquisitions can be a key component of growth and, from time to time, consideration for acquisitions may include the issuance of common stock.</w:t>
      </w:r>
    </w:p>
    <w:p>
      <w:pPr>
        <w:spacing w:after="0" w:line="188"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In addition to fund-raising opportunities, we also engage in periodic discussions with potential partners, strategic investments and acquisition candidates. If any of these discussions came to a definitive understanding, it is possible that we could use some of the newly authorized shares in connection with one or more such transactions. We also plan to continue to issue shares of common stock pursuant to our equity incentive plans. We currently have no agreement, commitment, or arrangement, regarding the issuance of common stock or preferred stock in connection with one or more such strategic transactions subsequent to the increase in the number of authorized shares. In addition, we do not have any agreements, commitments or arrangements regarding the issuance of common stock or preferred stock in connection with a fund-raising opportunity or any other purposes not specifically set forth in this proxy statement.</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9" w:name="page30"/>
    <w:bookmarkEnd w:id="29"/>
    <w:p>
      <w:pPr>
        <w:jc w:val="both"/>
        <w:spacing w:after="0" w:line="258" w:lineRule="auto"/>
        <w:rPr>
          <w:sz w:val="20"/>
          <w:szCs w:val="20"/>
          <w:color w:val="auto"/>
        </w:rPr>
      </w:pPr>
      <w:r>
        <w:rPr>
          <w:rFonts w:ascii="Times New Roman" w:cs="Times New Roman" w:eastAsia="Times New Roman" w:hAnsi="Times New Roman"/>
          <w:sz w:val="18"/>
          <w:szCs w:val="18"/>
          <w:color w:val="auto"/>
        </w:rPr>
        <w:t>The newly authorized common stock and preferred stock would be available for issuance without further action by stockholders except as required by law, our Amended and Restated Bylaws or applicable stock exchange requirements. Any such issuance could have the effect of diluting existing stockholders. Our Amended and Restated Bylaws do not include any preemptive or other rights of stockholders to subscribe for any shares of common stock or preferred stock which may in the future be issued by us, which means that current stockholders do not have a prior right to purchase any new issue of common stock or preferred stock in order to maintain their proportionate ownership of common stock.</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Rights of Additional Authorized Shares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additional common stock to be authorized by stockholder approval of this Proposal 5 would have rights identical to the currently outstanding shares of our common stock. We do not have any outstanding shares of preferred stock at this time.</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Possible Anti-Takeover Effects of the Proposed Amendment</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In addition to the corporate purposes mentioned above, an increase in the number of authorized shares of our common stock or preferred stock may make it more difficult to, or discourage an attempt to, obtain control of the Company by means of a takeover bid that the Board determines is not in the best interest of our Company and our stockholders. However, our Board of Directors is not aware of any attempt to take control of our company, and our Board of Directors has not presented this proposal with the intent that it be utilized as a type of anti-takeover device.</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Vote Required and Recommendation of the Board of Directors</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 xml:space="preserve">Proposal 5 shall be approved if the number of votes cast in favor of the action exceed the number of votes cast against the action. Broker non-votes and abstentions will not be taken into account in determining the outcome of the proposal. </w:t>
      </w:r>
      <w:r>
        <w:rPr>
          <w:rFonts w:ascii="Times New Roman" w:cs="Times New Roman" w:eastAsia="Times New Roman" w:hAnsi="Times New Roman"/>
          <w:sz w:val="18"/>
          <w:szCs w:val="18"/>
          <w:b w:val="1"/>
          <w:bCs w:val="1"/>
          <w:color w:val="auto"/>
        </w:rPr>
        <w:t>The Board recommends that stockholders vote FOR the</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approval of the amendment to our amended and restated articles of incorporation to increase the total number of authorized shares of common stock from 25,000,000 shares to 300,000,000 shares and the total number of authorized shares of preferred stock from 416,667 shares to 5,000,000 shares.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30" w:name="page31"/>
    <w:bookmarkEnd w:id="30"/>
    <w:p>
      <w:pPr>
        <w:jc w:val="center"/>
        <w:spacing w:after="0"/>
        <w:rPr>
          <w:sz w:val="20"/>
          <w:szCs w:val="20"/>
          <w:color w:val="auto"/>
        </w:rPr>
      </w:pPr>
      <w:r>
        <w:rPr>
          <w:rFonts w:ascii="Times New Roman" w:cs="Times New Roman" w:eastAsia="Times New Roman" w:hAnsi="Times New Roman"/>
          <w:sz w:val="18"/>
          <w:szCs w:val="18"/>
          <w:b w:val="1"/>
          <w:bCs w:val="1"/>
          <w:color w:val="auto"/>
        </w:rPr>
        <w:t>PROPOSAL 6:</w:t>
      </w:r>
    </w:p>
    <w:p>
      <w:pPr>
        <w:spacing w:after="0" w:line="31" w:lineRule="exact"/>
        <w:rPr>
          <w:sz w:val="20"/>
          <w:szCs w:val="20"/>
          <w:color w:val="auto"/>
        </w:rPr>
      </w:pPr>
    </w:p>
    <w:p>
      <w:pPr>
        <w:jc w:val="center"/>
        <w:spacing w:after="0" w:line="260" w:lineRule="auto"/>
        <w:rPr>
          <w:sz w:val="20"/>
          <w:szCs w:val="20"/>
          <w:color w:val="auto"/>
        </w:rPr>
      </w:pPr>
      <w:r>
        <w:rPr>
          <w:rFonts w:ascii="Times New Roman" w:cs="Times New Roman" w:eastAsia="Times New Roman" w:hAnsi="Times New Roman"/>
          <w:sz w:val="18"/>
          <w:szCs w:val="18"/>
          <w:b w:val="1"/>
          <w:bCs w:val="1"/>
          <w:color w:val="auto"/>
        </w:rPr>
        <w:t>TO APPROVE AMENDMENTS TO THE 2020 PLAN INCLUDING AN INCREASE IN THE NUMBER OF SHARES OF COMMON STOCK AUTHORIZED FOR ISSUANCE UNDER THE 2020 PLAN.</w:t>
      </w:r>
    </w:p>
    <w:p>
      <w:pPr>
        <w:spacing w:after="0" w:line="181"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 xml:space="preserve">In October 2025, the compensation committee of the Board approved an amendment to the CNS Pharmaceuticals, Inc. 2020 Stock Plan (the “2020 Plan”) to increase the number of shares of common stock authorized for issuance under the 2020 Plan by 114,916 shares. These amendments require stockholder approval, which the Company is seeking at this stockholders’ meeting. Our 2020 Plan is attached as </w:t>
      </w:r>
      <w:r>
        <w:rPr>
          <w:rFonts w:ascii="Times New Roman" w:cs="Times New Roman" w:eastAsia="Times New Roman" w:hAnsi="Times New Roman"/>
          <w:sz w:val="18"/>
          <w:szCs w:val="18"/>
          <w:u w:val="single" w:color="auto"/>
          <w:color w:val="auto"/>
        </w:rPr>
        <w:t>Annex B</w:t>
      </w:r>
      <w:r>
        <w:rPr>
          <w:rFonts w:ascii="Times New Roman" w:cs="Times New Roman" w:eastAsia="Times New Roman" w:hAnsi="Times New Roman"/>
          <w:sz w:val="18"/>
          <w:szCs w:val="18"/>
          <w:color w:val="auto"/>
        </w:rPr>
        <w:t xml:space="preserve"> of this proxy statement.</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Overview</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2020 Plan became effective in June 2020. Equity awards have been historically and, we believe, will continue to be, an integral component of our overall compensation program for our employees, directors and consultants. Approval of the share increase will allow us to continue to grant equity awards at levels we determine to be appropriate in order to attract new employees and directors, retain our existing employees and directors and to provide incentives for such persons to exert maximum efforts for our success. The share increase will allow us to continue to utilize a broad array of equity incentives with flexibility in designing equity incentives, including stock option grants, stock appreciation rights, stock awards, and stock unit awards.</w:t>
      </w:r>
    </w:p>
    <w:p>
      <w:pPr>
        <w:spacing w:after="0" w:line="183"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We believe it is critical for our long-term success that the interests of our employees and directors are tied to our success as “owners” of our business. The equity incentive programs we have in place are intended to build stockholder value by attracting and retaining talented employees and directors. We believe we must continue to offer competitive equity compensation packages in order to retain and motivate the talent necessary for our continued growth and success. We carefully monitor the equity compensation and equity holdings of our employees, directors and consultants as well as the type of equity awards we grant to ensure these awards continue to provide incentives for the recipients to work towards our success. To date, stock options and restricted stock units have been the primary components of our equity program. The potential value of stock options is realized only if our share price increases, and so stock options provide a strong incentive for individuals to work to build stockholder value.</w:t>
      </w:r>
    </w:p>
    <w:p>
      <w:pPr>
        <w:spacing w:after="0" w:line="18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As of the Record Date, we had 62 shares remaining available for grant under the 2020 Plan. There are a total of 70 stock options outstanding with a weighted average exercise price of $772,562.06 per share, and restricted/performance stock units outstanding representing a total of 18 shares of our common stock. We have and we expect to continue to experience growth in personnel as we progress our business and advance our lead drug candidate through clinical trials. If our stockholders do not approve the amendment to the 2020 Plan, we believe that we will be unable to successfully use equity as part of our compensation program, as most of our competitors in the industry do, putting us at a significant disadvantage. Therefore, we believe that approval of this request is in the best interest of our stockholders and our company.</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Key Features Designed to Protect Stockholders</w:t>
      </w:r>
      <w:r>
        <w:rPr>
          <w:rFonts w:ascii="Times New Roman" w:cs="Times New Roman" w:eastAsia="Times New Roman" w:hAnsi="Times New Roman"/>
          <w:sz w:val="18"/>
          <w:szCs w:val="18"/>
          <w:color w:val="auto"/>
        </w:rPr>
        <w:t>’</w:t>
      </w:r>
      <w:r>
        <w:rPr>
          <w:rFonts w:ascii="Times New Roman" w:cs="Times New Roman" w:eastAsia="Times New Roman" w:hAnsi="Times New Roman"/>
          <w:sz w:val="18"/>
          <w:szCs w:val="18"/>
          <w:b w:val="1"/>
          <w:bCs w:val="1"/>
          <w:color w:val="auto"/>
        </w:rPr>
        <w:t xml:space="preserve"> Interests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design of the 2020 Plan reflects our commitment to corporate governance and the desire to preserve stockholder value as demonstrated by the following features of the plan:</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u w:val="single" w:color="auto"/>
          <w:color w:val="auto"/>
        </w:rPr>
        <w:t>Independent administrator</w:t>
      </w:r>
      <w:r>
        <w:rPr>
          <w:rFonts w:ascii="Times New Roman" w:cs="Times New Roman" w:eastAsia="Times New Roman" w:hAnsi="Times New Roman"/>
          <w:sz w:val="18"/>
          <w:szCs w:val="18"/>
          <w:color w:val="auto"/>
        </w:rPr>
        <w:t>. The compensation committee of the board of directors, which is comprised solely of non-employee directors, administers the 2020 Plan.</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u w:val="single" w:color="auto"/>
          <w:color w:val="auto"/>
        </w:rPr>
        <w:t>No evergreen feature</w:t>
      </w:r>
      <w:r>
        <w:rPr>
          <w:rFonts w:ascii="Times New Roman" w:cs="Times New Roman" w:eastAsia="Times New Roman" w:hAnsi="Times New Roman"/>
          <w:sz w:val="18"/>
          <w:szCs w:val="18"/>
          <w:color w:val="auto"/>
        </w:rPr>
        <w:t>. The maximum number of shares available for issuance under the 2020 Plan is fixed and cannot be increased without stockholder approval.</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Repricing prohibited</w:t>
      </w:r>
      <w:r>
        <w:rPr>
          <w:rFonts w:ascii="Times New Roman" w:cs="Times New Roman" w:eastAsia="Times New Roman" w:hAnsi="Times New Roman"/>
          <w:sz w:val="18"/>
          <w:szCs w:val="18"/>
          <w:color w:val="auto"/>
        </w:rPr>
        <w:t>. Stockholder approval is required for any repricing of any stock options or stock appreciation rights.</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1" w:name="page32"/>
    <w:bookmarkEnd w:id="31"/>
    <w:p>
      <w:pPr>
        <w:jc w:val="both"/>
        <w:spacing w:after="0" w:line="282" w:lineRule="auto"/>
        <w:rPr>
          <w:sz w:val="20"/>
          <w:szCs w:val="20"/>
          <w:color w:val="auto"/>
        </w:rPr>
      </w:pPr>
      <w:r>
        <w:rPr>
          <w:rFonts w:ascii="Times New Roman" w:cs="Times New Roman" w:eastAsia="Times New Roman" w:hAnsi="Times New Roman"/>
          <w:sz w:val="18"/>
          <w:szCs w:val="18"/>
          <w:u w:val="single" w:color="auto"/>
          <w:color w:val="auto"/>
        </w:rPr>
        <w:t>Limitations on Dividend Payments on Awards</w:t>
      </w:r>
      <w:r>
        <w:rPr>
          <w:rFonts w:ascii="Times New Roman" w:cs="Times New Roman" w:eastAsia="Times New Roman" w:hAnsi="Times New Roman"/>
          <w:sz w:val="18"/>
          <w:szCs w:val="18"/>
          <w:color w:val="auto"/>
        </w:rPr>
        <w:t>. Dividends and dividend equivalents on all stock units and stock awards are paid only to the extent the awards vest, and no dividends or dividend equivalents are ever paid on stock options or stock appreciation rights.</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u w:val="single" w:color="auto"/>
          <w:color w:val="auto"/>
        </w:rPr>
        <w:t>No discount awards; maximum term specified</w:t>
      </w:r>
      <w:r>
        <w:rPr>
          <w:rFonts w:ascii="Times New Roman" w:cs="Times New Roman" w:eastAsia="Times New Roman" w:hAnsi="Times New Roman"/>
          <w:sz w:val="18"/>
          <w:szCs w:val="18"/>
          <w:color w:val="auto"/>
        </w:rPr>
        <w:t>. Stock options and stock appreciation rights must have an exercise price or base price no less than the fair market value on the date the award is granted and a term no longer than ten years’ duration.</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u w:val="single" w:color="auto"/>
          <w:color w:val="auto"/>
        </w:rPr>
        <w:t>Award design flexibility</w:t>
      </w:r>
      <w:r>
        <w:rPr>
          <w:rFonts w:ascii="Times New Roman" w:cs="Times New Roman" w:eastAsia="Times New Roman" w:hAnsi="Times New Roman"/>
          <w:sz w:val="18"/>
          <w:szCs w:val="18"/>
          <w:color w:val="auto"/>
        </w:rPr>
        <w:t>. Different kinds of awards may be granted under the 2020 Plan, giving us the flexibility to design our equity incentives to compliment the other elements of compensation and to support the attainment of our strategic goals.</w:t>
      </w:r>
    </w:p>
    <w:p>
      <w:pPr>
        <w:spacing w:after="0" w:line="162"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u w:val="single" w:color="auto"/>
          <w:color w:val="auto"/>
        </w:rPr>
        <w:t>Share counting</w:t>
      </w:r>
      <w:r>
        <w:rPr>
          <w:rFonts w:ascii="Times New Roman" w:cs="Times New Roman" w:eastAsia="Times New Roman" w:hAnsi="Times New Roman"/>
          <w:sz w:val="18"/>
          <w:szCs w:val="18"/>
          <w:color w:val="auto"/>
        </w:rPr>
        <w:t>. The number of shares available for grant under the 2020 Plan is reduced by the gross number of shares subject to awards, and shares withheld for taxes in connection with awards or tendered in payment of an option’s exercise price cannot be used for future grants.</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u w:val="single" w:color="auto"/>
          <w:color w:val="auto"/>
        </w:rPr>
        <w:t>Non-employee director limits</w:t>
      </w:r>
      <w:r>
        <w:rPr>
          <w:rFonts w:ascii="Times New Roman" w:cs="Times New Roman" w:eastAsia="Times New Roman" w:hAnsi="Times New Roman"/>
          <w:sz w:val="18"/>
          <w:szCs w:val="18"/>
          <w:color w:val="auto"/>
        </w:rPr>
        <w:t>. The 2020 Plan contains a limit on the compensation that may be paid to any non-employee member of our Board in any calendar year.</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No tax gross-ups</w:t>
      </w:r>
      <w:r>
        <w:rPr>
          <w:rFonts w:ascii="Times New Roman" w:cs="Times New Roman" w:eastAsia="Times New Roman" w:hAnsi="Times New Roman"/>
          <w:sz w:val="18"/>
          <w:szCs w:val="18"/>
          <w:color w:val="auto"/>
        </w:rPr>
        <w:t>. The 2020 Plan does not provide for tax gross-ups.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Fixed term</w:t>
      </w:r>
      <w:r>
        <w:rPr>
          <w:rFonts w:ascii="Times New Roman" w:cs="Times New Roman" w:eastAsia="Times New Roman" w:hAnsi="Times New Roman"/>
          <w:sz w:val="18"/>
          <w:szCs w:val="18"/>
          <w:color w:val="auto"/>
        </w:rPr>
        <w:t>. The 2020 Plan has a fixed term of ten years from its initial effective date, or April 6, 2030.</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Description of the 2020 Plan</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 xml:space="preserve">The 2020 Plan is a stock-based compensation plan that provides for discretionary grants of stock options, stock awards, stock unit awards and stock appreciation rights to key employees, non-employee directors and consultants. The material features of the 2020 Plan are outlined below. The following description of the 2020 Plan is a summary only and is qualified in its entirety by reference to the complete text of the 2020 Plan. Stockholders are urged to read the actual text of the 2020 Plan in its entirety, which is appended to this Proxy Statement as </w:t>
      </w:r>
      <w:r>
        <w:rPr>
          <w:rFonts w:ascii="Times New Roman" w:cs="Times New Roman" w:eastAsia="Times New Roman" w:hAnsi="Times New Roman"/>
          <w:sz w:val="18"/>
          <w:szCs w:val="18"/>
          <w:u w:val="single" w:color="auto"/>
          <w:color w:val="auto"/>
        </w:rPr>
        <w:t>Annex B</w:t>
      </w:r>
      <w:r>
        <w:rPr>
          <w:rFonts w:ascii="Times New Roman" w:cs="Times New Roman" w:eastAsia="Times New Roman" w:hAnsi="Times New Roman"/>
          <w:sz w:val="18"/>
          <w:szCs w:val="18"/>
          <w:color w:val="auto"/>
        </w:rPr>
        <w:t>.</w:t>
      </w:r>
    </w:p>
    <w:p>
      <w:pPr>
        <w:spacing w:after="0" w:line="176" w:lineRule="exact"/>
        <w:rPr>
          <w:sz w:val="20"/>
          <w:szCs w:val="20"/>
          <w:color w:val="auto"/>
        </w:rPr>
      </w:pPr>
    </w:p>
    <w:p>
      <w:pPr>
        <w:jc w:val="both"/>
        <w:spacing w:after="0" w:line="262" w:lineRule="auto"/>
        <w:rPr>
          <w:sz w:val="20"/>
          <w:szCs w:val="20"/>
          <w:color w:val="auto"/>
        </w:rPr>
      </w:pPr>
      <w:r>
        <w:rPr>
          <w:rFonts w:ascii="Times New Roman" w:cs="Times New Roman" w:eastAsia="Times New Roman" w:hAnsi="Times New Roman"/>
          <w:sz w:val="18"/>
          <w:szCs w:val="18"/>
          <w:b w:val="1"/>
          <w:bCs w:val="1"/>
          <w:color w:val="auto"/>
        </w:rPr>
        <w:t xml:space="preserve">Administration. </w:t>
      </w:r>
      <w:r>
        <w:rPr>
          <w:rFonts w:ascii="Times New Roman" w:cs="Times New Roman" w:eastAsia="Times New Roman" w:hAnsi="Times New Roman"/>
          <w:sz w:val="18"/>
          <w:szCs w:val="18"/>
          <w:color w:val="auto"/>
        </w:rPr>
        <w:t>The 2020 Plan is administered by our compensation committee of the board of directors (we refer to the body administering the 2020 Plan</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as the “Committee”). The Committee, which is comprised of directors who satisfy the non-employee director definition under Rule 16b-3 of the Securities Exchange Act of 1934, has full authority to select the individuals who will receive awards under the 2020 Plan, determine the form and amount of each of the awards to be granted and establish the terms and conditions of awards.</w:t>
      </w:r>
    </w:p>
    <w:p>
      <w:pPr>
        <w:spacing w:after="0" w:line="176" w:lineRule="exact"/>
        <w:rPr>
          <w:sz w:val="20"/>
          <w:szCs w:val="20"/>
          <w:color w:val="auto"/>
        </w:rPr>
      </w:pPr>
    </w:p>
    <w:p>
      <w:pPr>
        <w:jc w:val="both"/>
        <w:spacing w:after="0" w:line="262" w:lineRule="auto"/>
        <w:rPr>
          <w:sz w:val="20"/>
          <w:szCs w:val="20"/>
          <w:color w:val="auto"/>
        </w:rPr>
      </w:pPr>
      <w:r>
        <w:rPr>
          <w:rFonts w:ascii="Times New Roman" w:cs="Times New Roman" w:eastAsia="Times New Roman" w:hAnsi="Times New Roman"/>
          <w:sz w:val="18"/>
          <w:szCs w:val="18"/>
          <w:b w:val="1"/>
          <w:bCs w:val="1"/>
          <w:color w:val="auto"/>
        </w:rPr>
        <w:t xml:space="preserve">Limit on Non-Employee Director Compensation. </w:t>
      </w:r>
      <w:r>
        <w:rPr>
          <w:rFonts w:ascii="Times New Roman" w:cs="Times New Roman" w:eastAsia="Times New Roman" w:hAnsi="Times New Roman"/>
          <w:sz w:val="18"/>
          <w:szCs w:val="18"/>
          <w:color w:val="auto"/>
        </w:rPr>
        <w:t>Under the 2020 Plan, the following limits apply to non-employee directors. The aggregate value of all</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compensation granted or paid, as applicable, to any individual for service as a non-employee director with respect to any calendar year, including awards granted under the 2020 Plan and cash fees paid to such non-employee director, will not exceed $300,000 in total value. For purposes of these limitations, the value of awards is calculated based on the grant date fair value of such awards for financial reporting purposes.</w:t>
      </w:r>
    </w:p>
    <w:p>
      <w:pPr>
        <w:spacing w:after="0" w:line="176"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b w:val="1"/>
          <w:bCs w:val="1"/>
          <w:color w:val="auto"/>
        </w:rPr>
        <w:t xml:space="preserve">Number of Shares of Common Stock. </w:t>
      </w:r>
      <w:r>
        <w:rPr>
          <w:rFonts w:ascii="Times New Roman" w:cs="Times New Roman" w:eastAsia="Times New Roman" w:hAnsi="Times New Roman"/>
          <w:sz w:val="18"/>
          <w:szCs w:val="18"/>
          <w:color w:val="auto"/>
        </w:rPr>
        <w:t>As of the Record Date, 62 shares remain available for issuance under the 2020 Plan, which currently provides for</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up to 145 shares to be issued. If this proposal is approved, the number of shares of the common stock that may be issued under the 2020 Plan will be 115,061 (this includes the 114,916 share increase being requested in this proxy statement), of which 114,978 shares will be available for future issuance.</w:t>
      </w:r>
    </w:p>
    <w:p>
      <w:pPr>
        <w:spacing w:after="0" w:line="175"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Shares issuable under the 2020 Plan may be authorized but unissued shares or treasury shares. If there is a lapse, forfeiture, expiration, termination or cancellation of any award made under the 2020 Plan for any reason, the shares subject to the award will again be available for issuance. Any shares subject to an award that are delivered to us by a participant, or withheld by us on behalf of a participant, as payment for an award or payment of withholding taxes due in connection with an award will not again be available for issuance, and all such shares will count toward the number of shares issued under the 2020 Plan. The number of shares of common stock issuable under the 2020 Plan is subject to adjustment, in the event of any reorganization, recapitalization, stock split, stock distribution, merger, consolidation, split-up, spin-off, combination, subdivision, consolidation or exchange of shares, any change in the capital structure of the company or any similar corporate transaction. In each case, the Committee has the discretion to make adjustments it deems necessary to preserve the intended benefits under the 2020 Plan. No award granted under the 2020 Plan may be transferred, except by will, or the laws of descent and distribution.</w:t>
      </w: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32" w:name="page33"/>
    <w:bookmarkEnd w:id="32"/>
    <w:p>
      <w:pPr>
        <w:jc w:val="both"/>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Eligibility. </w:t>
      </w:r>
      <w:r>
        <w:rPr>
          <w:rFonts w:ascii="Times New Roman" w:cs="Times New Roman" w:eastAsia="Times New Roman" w:hAnsi="Times New Roman"/>
          <w:sz w:val="18"/>
          <w:szCs w:val="18"/>
          <w:color w:val="auto"/>
        </w:rPr>
        <w:t>All employees designated as key employees for purposes of the 2020 Plan, non-employee directors and consultants are eligible to receive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awards under the 2020 Plan. As of October 10, 2025, 6 employees and all non-employee directors were eligible to participate in the 2020 Plan.</w:t>
      </w:r>
    </w:p>
    <w:p>
      <w:pPr>
        <w:spacing w:after="0" w:line="155"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b w:val="1"/>
          <w:bCs w:val="1"/>
          <w:color w:val="auto"/>
        </w:rPr>
        <w:t xml:space="preserve">Awards to Participants. </w:t>
      </w:r>
      <w:r>
        <w:rPr>
          <w:rFonts w:ascii="Times New Roman" w:cs="Times New Roman" w:eastAsia="Times New Roman" w:hAnsi="Times New Roman"/>
          <w:sz w:val="18"/>
          <w:szCs w:val="18"/>
          <w:color w:val="auto"/>
        </w:rPr>
        <w:t>The 2020 Plan provides for discretionary awards of stock options, stock awards, stock unit awards and stock appreciation rights to</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participants. Each award made under the 2020 Plan will be evidenced by a written award agreement specifying the terms and conditions of the award as determined by the Committee in its sole discretion, consistent with the terms of the 2020 Plan.</w:t>
      </w:r>
    </w:p>
    <w:p>
      <w:pPr>
        <w:spacing w:after="0" w:line="173"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i w:val="1"/>
          <w:iCs w:val="1"/>
          <w:color w:val="auto"/>
        </w:rPr>
        <w:t>Stock Options</w:t>
      </w:r>
      <w:r>
        <w:rPr>
          <w:rFonts w:ascii="Times New Roman" w:cs="Times New Roman" w:eastAsia="Times New Roman" w:hAnsi="Times New Roman"/>
          <w:sz w:val="18"/>
          <w:szCs w:val="18"/>
          <w:color w:val="auto"/>
        </w:rPr>
        <w:t>. The Committee has the discretion to grant non-qualified stock options or incentive stock options to participants and to set the terms and</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conditions applicable to the options, including the type of option, the number of shares subject to the option and the vesting schedule; provided that the exercise price of each stock option will be the closing price of the common stock on the date on which the option is granted (“fair market value”), each option will expire ten years from the date of grant and no dividend equivalents may be paid with respect to stock options.</w:t>
      </w:r>
    </w:p>
    <w:p>
      <w:pPr>
        <w:spacing w:after="0" w:line="182"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In addition, an incentive stock option granted to a key employee is subject to the following rules: (i) the aggregate fair market value (determined at the time the option is granted) of the shares of common stock with respect to which incentive stock options are exercisable for the first time by a key employee during any calendar year (under all incentive stock option plans of the company and its subsidiaries) cannot exceed $100,000, and if this limitation is exceeded, that portion of the incentive stock option that does not exceed the applicable dollar limit will be an incentive stock option and the remainder will be a non-qualified stock option; (ii) if an incentive stock option is granted to a key employee who owns stock possessing more than 10% of the total combined voting power of all class of stock of the company, the exercise price of the incentive stock option will be 110% of the closing price of the common stock on the date of grant and the incentive stock option will expire no later than five years from the date of grant; and (iii) no incentive stock option can be granted after ten years from the initial effective date of the 2020 Plan.</w:t>
      </w:r>
    </w:p>
    <w:p>
      <w:pPr>
        <w:spacing w:after="0" w:line="190"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i w:val="1"/>
          <w:iCs w:val="1"/>
          <w:color w:val="auto"/>
        </w:rPr>
        <w:t>Stock Appreciation Rights</w:t>
      </w:r>
      <w:r>
        <w:rPr>
          <w:rFonts w:ascii="Times New Roman" w:cs="Times New Roman" w:eastAsia="Times New Roman" w:hAnsi="Times New Roman"/>
          <w:sz w:val="18"/>
          <w:szCs w:val="18"/>
          <w:color w:val="auto"/>
        </w:rPr>
        <w:t>. The Committee has the discretion to grant stock appreciation rights to participants. The Committee determines the exercise price</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for a stock appreciation right, which cannot be less than 100% of the fair market value of our common stock on the date of grant. Upon the exercise of a stock appreciation right, we will pay the participant in common stock or in cash, at our discretion, an amount equal to the product of (1) the excess of the per share fair market value of our common stock on the date of exercise over the exercise price, multiplied by (2) the number of shares of common stock with respect to which the stock appreciation right is exercised. The Committee has the discretion to set the terms and conditions applicable to the award, including the number of shares subject to the stock appreciation right and the vesting schedule, provided that each stock appreciation right will expire not more than ten years from the date of grant and no dividends or dividend equivalents shall be paid with respect to any stock appreciation right prior to the exercise of the stock appreciation right.</w:t>
      </w:r>
    </w:p>
    <w:p>
      <w:pPr>
        <w:spacing w:after="0" w:line="185" w:lineRule="exact"/>
        <w:rPr>
          <w:sz w:val="20"/>
          <w:szCs w:val="20"/>
          <w:color w:val="auto"/>
        </w:rPr>
      </w:pPr>
    </w:p>
    <w:p>
      <w:pPr>
        <w:jc w:val="both"/>
        <w:spacing w:after="0" w:line="257" w:lineRule="auto"/>
        <w:rPr>
          <w:sz w:val="20"/>
          <w:szCs w:val="20"/>
          <w:color w:val="auto"/>
        </w:rPr>
      </w:pPr>
      <w:r>
        <w:rPr>
          <w:rFonts w:ascii="Times New Roman" w:cs="Times New Roman" w:eastAsia="Times New Roman" w:hAnsi="Times New Roman"/>
          <w:sz w:val="18"/>
          <w:szCs w:val="18"/>
          <w:i w:val="1"/>
          <w:iCs w:val="1"/>
          <w:color w:val="auto"/>
        </w:rPr>
        <w:t>Stock Awards</w:t>
      </w:r>
      <w:r>
        <w:rPr>
          <w:rFonts w:ascii="Times New Roman" w:cs="Times New Roman" w:eastAsia="Times New Roman" w:hAnsi="Times New Roman"/>
          <w:sz w:val="18"/>
          <w:szCs w:val="18"/>
          <w:color w:val="auto"/>
        </w:rPr>
        <w:t>. The Committee has the discretion to grant stock awards to participants. Stock awards will consist of shares of common stock granted without</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any consideration from the participant or shares sold to the participant for appropriate consideration as determined by the Board. The number of shares awarded to each participant, and the restrictions, terms and conditions of the award, will be at the discretion of the Committee. Subject to the restrictions, a participant will be a stockholder with respect to the shares awarded to him or her and will have the rights of a stockholder with respect to the shares, including the right to vote the shares and receive dividends on the shares; provided that dividends otherwise payable on any stock award subject to restrictions will be held by us and will be paid to the holder of the stock award only to the extent the restrictions on such stock award lapse.</w:t>
      </w:r>
    </w:p>
    <w:p>
      <w:pPr>
        <w:spacing w:after="0" w:line="182"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i w:val="1"/>
          <w:iCs w:val="1"/>
          <w:color w:val="auto"/>
        </w:rPr>
        <w:t xml:space="preserve">Stock Units. </w:t>
      </w:r>
      <w:r>
        <w:rPr>
          <w:rFonts w:ascii="Times New Roman" w:cs="Times New Roman" w:eastAsia="Times New Roman" w:hAnsi="Times New Roman"/>
          <w:sz w:val="18"/>
          <w:szCs w:val="18"/>
          <w:color w:val="auto"/>
        </w:rPr>
        <w:t>The Committee has the discretion to grant stock unit awards to participants. Each stock unit entitles the participant to receive, on a specified</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date or event set forth in the award agreement, one share of common stock or cash equal to the fair market value of one share on such date or event, as provided in the award agreement. The number of stock units awarded to each participant, and the terms and conditions of the award, will be at the discretion of the Committee. Unless otherwise specified in the award agreement, a participant will not be a stockholder with respect to the stock units awarded to him prior to the date they are settled in shares of common stock. The award agreement may provide that until the restrictions on the stock units lapse, the participant will be paid an amount equal to the dividends that would have been paid had the stock units been actual shares; provided that such dividend equivalents will be held by us and paid only to the extent the restrictions lapse.</w:t>
      </w: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3" w:name="page34"/>
    <w:bookmarkEnd w:id="33"/>
    <w:p>
      <w:pPr>
        <w:jc w:val="both"/>
        <w:spacing w:after="0" w:line="257" w:lineRule="auto"/>
        <w:rPr>
          <w:sz w:val="20"/>
          <w:szCs w:val="20"/>
          <w:color w:val="auto"/>
        </w:rPr>
      </w:pPr>
      <w:r>
        <w:rPr>
          <w:rFonts w:ascii="Times New Roman" w:cs="Times New Roman" w:eastAsia="Times New Roman" w:hAnsi="Times New Roman"/>
          <w:sz w:val="18"/>
          <w:szCs w:val="18"/>
          <w:i w:val="1"/>
          <w:iCs w:val="1"/>
          <w:color w:val="auto"/>
        </w:rPr>
        <w:t>Award Limits</w:t>
      </w:r>
      <w:r>
        <w:rPr>
          <w:rFonts w:ascii="Times New Roman" w:cs="Times New Roman" w:eastAsia="Times New Roman" w:hAnsi="Times New Roman"/>
          <w:sz w:val="18"/>
          <w:szCs w:val="18"/>
          <w:color w:val="auto"/>
        </w:rPr>
        <w:t>. The 2020 Plan contains a limit on the number of shares of common stock as to which any one recipient may receive stock options or stock</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appreciation rights in any calendar year to $1,500,000 in total value (calculating the value of any such awards based on the grant date fair value of such awards for financial reporting purposes). In addition, the 2020 Plan contains a limit on the number of shares of common stock that may be used for stock awards and/or stock unit awards to any one recipient in any calendar year to $1,500,000 in total value (calculating the value of any such awards based on the grant date fair value of such awards for financial reporting purposes). We believe these limits will prevent the volatility of our stock price from effecting our ability to plan future awards.</w:t>
      </w:r>
    </w:p>
    <w:p>
      <w:pPr>
        <w:spacing w:after="0" w:line="180"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b w:val="1"/>
          <w:bCs w:val="1"/>
          <w:color w:val="auto"/>
        </w:rPr>
        <w:t xml:space="preserve">Payment for Stock Options and Withholding Taxes. </w:t>
      </w:r>
      <w:r>
        <w:rPr>
          <w:rFonts w:ascii="Times New Roman" w:cs="Times New Roman" w:eastAsia="Times New Roman" w:hAnsi="Times New Roman"/>
          <w:sz w:val="18"/>
          <w:szCs w:val="18"/>
          <w:color w:val="auto"/>
        </w:rPr>
        <w:t>The Committee may make one or more of the following methods available for payment of any</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award, including the exercise price of a stock option, and for payment of the tax obligation associated with an award: (i) cash; (ii) cash received from a broker-dealer to whom the holder has submitted an exercise notice together with irrevocable instructions to deliver promptly to us the amount of sales proceeds from the sale of the shares subject to the award to pay the exercise price or withholding tax; (iii) by directing us to withhold shares of common stock otherwise issuable in connection with the award having a fair market value equal to the amount required to be withheld; and (iv) by delivery of previously acquired shares of common stock that are acceptable to the Committee and that have an aggregate fair market value on the date of exercise equal to the exercise price or withholding tax, or certification of ownership by attestation of such previously acquired shares.</w:t>
      </w:r>
    </w:p>
    <w:p>
      <w:pPr>
        <w:spacing w:after="0" w:line="183"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b w:val="1"/>
          <w:bCs w:val="1"/>
          <w:color w:val="auto"/>
        </w:rPr>
        <w:t xml:space="preserve">Provisions Relating to a “Change in Control” of the Company. </w:t>
      </w:r>
      <w:r>
        <w:rPr>
          <w:rFonts w:ascii="Times New Roman" w:cs="Times New Roman" w:eastAsia="Times New Roman" w:hAnsi="Times New Roman"/>
          <w:sz w:val="18"/>
          <w:szCs w:val="18"/>
          <w:color w:val="auto"/>
        </w:rPr>
        <w:t>Notwithstanding any other provision of the 2020 Plan or any award agreement, in the</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event of a “Change in Control” of the company, the Committee has the discretion to provide that all outstanding awards will become fully exercisable, all restrictions applicable to all awards will terminate or lapse, and performance goals applicable to any stock awards will be deemed satisfied at the target level. In addition, upon such Change in Control, the Committee has sole discretion to provide for the purchase of any outstanding stock option for cash equal to the difference between the exercise price and the then fair market value of the common stock subject to the option had the option been currently exercisable, make such adjustment to any award then outstanding as the Committee deems appropriate to reflect such Change in Control and cause any such award then outstanding to be assumed by the acquiring or surviving corporation after such Change in Control.</w:t>
      </w:r>
    </w:p>
    <w:p>
      <w:pPr>
        <w:spacing w:after="0" w:line="183" w:lineRule="exact"/>
        <w:rPr>
          <w:sz w:val="20"/>
          <w:szCs w:val="20"/>
          <w:color w:val="auto"/>
        </w:rPr>
      </w:pPr>
    </w:p>
    <w:p>
      <w:pPr>
        <w:ind w:right="100"/>
        <w:spacing w:after="0" w:line="268" w:lineRule="auto"/>
        <w:rPr>
          <w:sz w:val="20"/>
          <w:szCs w:val="20"/>
          <w:color w:val="auto"/>
        </w:rPr>
      </w:pPr>
      <w:r>
        <w:rPr>
          <w:rFonts w:ascii="Times New Roman" w:cs="Times New Roman" w:eastAsia="Times New Roman" w:hAnsi="Times New Roman"/>
          <w:sz w:val="18"/>
          <w:szCs w:val="18"/>
          <w:b w:val="1"/>
          <w:bCs w:val="1"/>
          <w:color w:val="auto"/>
        </w:rPr>
        <w:t xml:space="preserve">Amendment of Award Agreements; Amendment and Termination of the 2020 Plan; Term of the 2020 Plan. </w:t>
      </w:r>
      <w:r>
        <w:rPr>
          <w:rFonts w:ascii="Times New Roman" w:cs="Times New Roman" w:eastAsia="Times New Roman" w:hAnsi="Times New Roman"/>
          <w:sz w:val="18"/>
          <w:szCs w:val="18"/>
          <w:color w:val="auto"/>
        </w:rPr>
        <w:t>The Committee may amend any award</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agreement at any time, provided that no amendment may adversely affect the right of any participant under any agreement in any material way without the written consent of the participant, unless such amendment is required by applicable law, regulation or stock exchange rule.</w:t>
      </w:r>
    </w:p>
    <w:p>
      <w:pPr>
        <w:spacing w:after="0" w:line="17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Board may terminate, suspend or amend the 2020 Plan, in whole or in part, from time to time, without the approval of the stockholders, unless such approval is required by applicable law, regulation or stock exchange rule, and provided that no amendment may adversely affect the right of any participant under any outstanding award in any material way without the written consent of the participant, unless such amendment is required by applicable law, regulation or rule of any stock exchange on which the shares are listed.</w:t>
      </w:r>
    </w:p>
    <w:p>
      <w:pPr>
        <w:spacing w:after="0" w:line="180"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Notwithstanding the foregoing, neither the 2020 Plan nor any outstanding award agreement can be amended in a way that results in the repricing of a stock option. Repricing is broadly defined to include reducing the exercise price of a stock option or stock appreciation right or cancelling a stock option or stock appreciation right in exchange for cash, other stock options or stock appreciation rights with a lower exercise price or other stock awards. (This prohibition on repricing without stockholder approval does not apply in case of an equitable adjustment to the awards to reflect changes in the capital structure of the company or similar events.)</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 awards may be granted under the 2020 Plan on or after the tenth anniversary of the initial effective date of the 2020 Plan, or April 6, 2030.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4" w:right="339" w:bottom="1440" w:gutter="0" w:footer="0" w:header="0"/>
        </w:sectPr>
      </w:pPr>
    </w:p>
    <w:bookmarkStart w:id="34" w:name="page35"/>
    <w:bookmarkEnd w:id="34"/>
    <w:p>
      <w:pPr>
        <w:spacing w:after="0"/>
        <w:rPr>
          <w:sz w:val="20"/>
          <w:szCs w:val="20"/>
          <w:color w:val="auto"/>
        </w:rPr>
      </w:pPr>
      <w:r>
        <w:rPr>
          <w:rFonts w:ascii="Times New Roman" w:cs="Times New Roman" w:eastAsia="Times New Roman" w:hAnsi="Times New Roman"/>
          <w:sz w:val="18"/>
          <w:szCs w:val="18"/>
          <w:b w:val="1"/>
          <w:bCs w:val="1"/>
          <w:color w:val="auto"/>
        </w:rPr>
        <w:t>U.S. Federal Income Tax Consequences</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information set forth below is a summary only and does not purport to be complete. The information is based upon current U.S. federal income tax rules and therefore is subject to change when those rules change. Because the tax consequences to any recipient of an award may depend on his or her particular situation, each recipient should consult the recipient’s tax adviser regarding the federal, state, local, and other tax consequences of the grant or exercise of an award or the disposition of shares acquired as a result of an award. The 2020 Plan will not be qualified under the provisions of section 401(a) of the Code and will not be subject to any of the provisions of the Employee Retirement Income Security Act of 1974, as amended.</w:t>
      </w:r>
    </w:p>
    <w:p>
      <w:pPr>
        <w:spacing w:after="0" w:line="181" w:lineRule="exact"/>
        <w:rPr>
          <w:sz w:val="20"/>
          <w:szCs w:val="20"/>
          <w:color w:val="auto"/>
        </w:rPr>
      </w:pPr>
    </w:p>
    <w:p>
      <w:pPr>
        <w:jc w:val="both"/>
        <w:spacing w:after="0" w:line="257" w:lineRule="auto"/>
        <w:rPr>
          <w:sz w:val="20"/>
          <w:szCs w:val="20"/>
          <w:color w:val="auto"/>
        </w:rPr>
      </w:pPr>
      <w:r>
        <w:rPr>
          <w:rFonts w:ascii="Times New Roman" w:cs="Times New Roman" w:eastAsia="Times New Roman" w:hAnsi="Times New Roman"/>
          <w:sz w:val="18"/>
          <w:szCs w:val="18"/>
          <w:i w:val="1"/>
          <w:iCs w:val="1"/>
          <w:color w:val="auto"/>
        </w:rPr>
        <w:t>Non-Qualified Stock Options</w:t>
      </w:r>
      <w:r>
        <w:rPr>
          <w:rFonts w:ascii="Times New Roman" w:cs="Times New Roman" w:eastAsia="Times New Roman" w:hAnsi="Times New Roman"/>
          <w:sz w:val="18"/>
          <w:szCs w:val="18"/>
          <w:color w:val="auto"/>
        </w:rPr>
        <w:t>. A participant will not recognize any income at the time of grant. On the date the participant exercises the non-qualified stock</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option, the participant will recognize ordinary income in an amount equal to the excess of the fair market value of the shares on the date of exercise over the exercise price. The participant will be responsible for remitting to us the withholding tax obligation that arises at the time the option is exercised. We generally will receive a tax deduction for the same amount of ordinary income recognized by the participant. When the participant sells these shares, any gain or loss recognized by the participant is treated as either short-term or long-term capital gain or loss depending on whether the participant has held the shares more than one year.</w:t>
      </w:r>
    </w:p>
    <w:p>
      <w:pPr>
        <w:spacing w:after="0" w:line="180"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i w:val="1"/>
          <w:iCs w:val="1"/>
          <w:color w:val="auto"/>
        </w:rPr>
        <w:t>Incentive Stock Options</w:t>
      </w:r>
      <w:r>
        <w:rPr>
          <w:rFonts w:ascii="Times New Roman" w:cs="Times New Roman" w:eastAsia="Times New Roman" w:hAnsi="Times New Roman"/>
          <w:sz w:val="18"/>
          <w:szCs w:val="18"/>
          <w:b w:val="1"/>
          <w:bCs w:val="1"/>
          <w:color w:val="auto"/>
        </w:rPr>
        <w:t>.</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A participant will not recognize any income at the time of grant. If the participant is issued shares pursuant to the exercise of an</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incentive stock option, and if the participant does not make a disqualifying disposition of the shares within one year after the date of exercise or within two years after the date of grant, the participant will not recognize any income, for federal income tax purposes, at the time of the exercise. When the participant sells the shares issued pursuant to the incentive stock option, the participant will be taxed, for federal income tax purposes, as a long-term capital gain on any amount recognized by the participant in excess of the exercise price, and any loss sustained by the participant will be a long-term capital loss. No deduction will be allowed to us for federal income tax purposes. If, however, the participant sells the shares before the expiration of the holding periods, the participant will recognize ordinary income on the difference between the exercise price and the fair market value at exercise, and we generally will receive a tax deduction in the same amount. Upon exercise of an incentive stock option, the excess of the fair market value over the exercise price is an item of tax preference to the participant for purposes of determining the alternative minimum tax.</w:t>
      </w:r>
    </w:p>
    <w:p>
      <w:pPr>
        <w:spacing w:after="0" w:line="19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order to qualify as an incentive stock option, the option must be exercised within three months after the participant’s termination of employment for any reason other than death or disability and within one year after termination of the participant’s employment due to disability. If the option is not exercised within this time period, it will be treated as a non-qualified stock option and taxed accordingly.</w:t>
      </w:r>
    </w:p>
    <w:p>
      <w:pPr>
        <w:spacing w:after="0" w:line="172"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i w:val="1"/>
          <w:iCs w:val="1"/>
          <w:color w:val="auto"/>
        </w:rPr>
        <w:t>Stock Awards/Stock Units</w:t>
      </w:r>
      <w:r>
        <w:rPr>
          <w:rFonts w:ascii="Times New Roman" w:cs="Times New Roman" w:eastAsia="Times New Roman" w:hAnsi="Times New Roman"/>
          <w:sz w:val="18"/>
          <w:szCs w:val="18"/>
          <w:b w:val="1"/>
          <w:bCs w:val="1"/>
          <w:color w:val="auto"/>
        </w:rPr>
        <w:t>.</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If a participant receives a stock award, the participant will recognize ordinary income upon becoming entitled to transfer the</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shares at the end of the restriction period without forfeiture. A participant generally will recognize ordinary income when he receives cash or shares pursuant to the settlement of stock units, provided that if the shares are subject to any further restrictions on transfer, the participant will recognize ordinary income upon becoming entitled to transfer the shares at the end of the restriction period without forfeiture. The amount of income the participant recognizes will be equal to the fair market value of the shares on such date, or the amount of cash received, less the amount paid by the participant for the shares. This amount will also be the participant’s tax basis for the shares. The participant will be responsible for remitting to us the withholding tax obligation that arises at the time the ordinary income is recognized. In addition, the holding period begins on the day the restrictions lapse, or the date the shares are received if not subject to any restrictions, for purposes of determining whether the participant has long-term or short-term capital gain or loss on a subsequent sale of the shares. We generally will be entitled to a deduction with respect to the ordinary income recognized by the participant.</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5" w:name="page36"/>
    <w:bookmarkEnd w:id="35"/>
    <w:p>
      <w:pPr>
        <w:jc w:val="both"/>
        <w:spacing w:after="0" w:line="254" w:lineRule="auto"/>
        <w:rPr>
          <w:sz w:val="20"/>
          <w:szCs w:val="20"/>
          <w:color w:val="auto"/>
        </w:rPr>
      </w:pPr>
      <w:r>
        <w:rPr>
          <w:rFonts w:ascii="Times New Roman" w:cs="Times New Roman" w:eastAsia="Times New Roman" w:hAnsi="Times New Roman"/>
          <w:sz w:val="18"/>
          <w:szCs w:val="18"/>
          <w:color w:val="auto"/>
        </w:rPr>
        <w:t>If a participant who receives a stock award subject to restrictions makes an election under Section 83(b) of the Code within 30 days after the date of the grant, the participant will have ordinary income equal to the fair market value on the date of grant, less the amount paid by the participant for the shares, and the participant will recognize no additional income until the participant subsequently sells the shares. The participant will be responsible for remitting to us the withholding tax obligation that arises at the time the ordinary income is recognized. When the participant sells the shares, the tax basis will be equal to the fair market value on the date of grant and the holding period for capital gains purposes begins on the date of the grant. If the participant forfeits the shares subject to the Section 83(b) election, the participant will not be entitled to any deduction, refund, or loss for tax purposes (other than a capital loss with respect to the amount of ordinary income previously recognized by the participant), and we will have to include the amount that was previously deducted from our gross income in the taxable year of the forfeiture.</w:t>
      </w:r>
    </w:p>
    <w:p>
      <w:pPr>
        <w:spacing w:after="0" w:line="188" w:lineRule="exact"/>
        <w:rPr>
          <w:sz w:val="20"/>
          <w:szCs w:val="20"/>
          <w:color w:val="auto"/>
        </w:rPr>
      </w:pPr>
    </w:p>
    <w:p>
      <w:pPr>
        <w:jc w:val="both"/>
        <w:spacing w:after="0" w:line="262" w:lineRule="auto"/>
        <w:rPr>
          <w:sz w:val="20"/>
          <w:szCs w:val="20"/>
          <w:color w:val="auto"/>
        </w:rPr>
      </w:pPr>
      <w:r>
        <w:rPr>
          <w:rFonts w:ascii="Times New Roman" w:cs="Times New Roman" w:eastAsia="Times New Roman" w:hAnsi="Times New Roman"/>
          <w:sz w:val="18"/>
          <w:szCs w:val="18"/>
          <w:i w:val="1"/>
          <w:iCs w:val="1"/>
          <w:color w:val="auto"/>
        </w:rPr>
        <w:t>Stock Appreciation Rights</w:t>
      </w:r>
      <w:r>
        <w:rPr>
          <w:rFonts w:ascii="Times New Roman" w:cs="Times New Roman" w:eastAsia="Times New Roman" w:hAnsi="Times New Roman"/>
          <w:sz w:val="18"/>
          <w:szCs w:val="18"/>
          <w:b w:val="1"/>
          <w:bCs w:val="1"/>
          <w:color w:val="auto"/>
        </w:rPr>
        <w:t>.</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A participant will not recognize any income at the time of the grant of a stock appreciation right. Upon exercise of the stock</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appreciation right, the participant will recognize ordinary income equal to the amount received upon exercise. The participant will be responsible for remitting to us the withholding tax obligation that arises at the time the ordinary income is recognized. We generally will be entitled to a deduction with respect to the ordinary income recognized by the participant.</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552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Awards Granted Under the 2020 Plan</w:t>
            </w:r>
          </w:p>
        </w:tc>
        <w:tc>
          <w:tcPr>
            <w:tcW w:w="22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5060" w:type="dxa"/>
            <w:vAlign w:val="bottom"/>
          </w:tcPr>
          <w:p>
            <w:pPr>
              <w:spacing w:after="0"/>
              <w:rPr>
                <w:sz w:val="20"/>
                <w:szCs w:val="20"/>
                <w:color w:val="auto"/>
              </w:rPr>
            </w:pPr>
          </w:p>
        </w:tc>
      </w:tr>
      <w:tr>
        <w:trPr>
          <w:trHeight w:val="432"/>
        </w:trPr>
        <w:tc>
          <w:tcPr>
            <w:tcW w:w="5520" w:type="dxa"/>
            <w:vAlign w:val="bottom"/>
          </w:tcPr>
          <w:p>
            <w:pPr>
              <w:spacing w:after="0"/>
              <w:rPr>
                <w:sz w:val="20"/>
                <w:szCs w:val="20"/>
                <w:color w:val="auto"/>
              </w:rPr>
            </w:pPr>
            <w:r>
              <w:rPr>
                <w:rFonts w:ascii="Times New Roman" w:cs="Times New Roman" w:eastAsia="Times New Roman" w:hAnsi="Times New Roman"/>
                <w:sz w:val="18"/>
                <w:szCs w:val="18"/>
                <w:color w:val="auto"/>
              </w:rPr>
              <w:t>The following awards have been granted under the Plan:</w:t>
            </w:r>
          </w:p>
        </w:tc>
        <w:tc>
          <w:tcPr>
            <w:tcW w:w="22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5060" w:type="dxa"/>
            <w:vAlign w:val="bottom"/>
          </w:tcPr>
          <w:p>
            <w:pPr>
              <w:spacing w:after="0"/>
              <w:rPr>
                <w:sz w:val="24"/>
                <w:szCs w:val="24"/>
                <w:color w:val="auto"/>
              </w:rPr>
            </w:pPr>
          </w:p>
        </w:tc>
      </w:tr>
      <w:tr>
        <w:trPr>
          <w:trHeight w:val="446"/>
        </w:trPr>
        <w:tc>
          <w:tcPr>
            <w:tcW w:w="5520" w:type="dxa"/>
            <w:vAlign w:val="bottom"/>
          </w:tcPr>
          <w:p>
            <w:pPr>
              <w:ind w:left="2080"/>
              <w:spacing w:after="0"/>
              <w:rPr>
                <w:sz w:val="20"/>
                <w:szCs w:val="20"/>
                <w:color w:val="auto"/>
              </w:rPr>
            </w:pPr>
            <w:r>
              <w:rPr>
                <w:rFonts w:ascii="Times New Roman" w:cs="Times New Roman" w:eastAsia="Times New Roman" w:hAnsi="Times New Roman"/>
                <w:sz w:val="18"/>
                <w:szCs w:val="18"/>
                <w:color w:val="auto"/>
              </w:rPr>
              <w:t>Name and Position</w:t>
            </w:r>
          </w:p>
        </w:tc>
        <w:tc>
          <w:tcPr>
            <w:tcW w:w="5720" w:type="dxa"/>
            <w:vAlign w:val="bottom"/>
            <w:gridSpan w:val="3"/>
          </w:tcPr>
          <w:p>
            <w:pPr>
              <w:ind w:left="220"/>
              <w:spacing w:after="0"/>
              <w:rPr>
                <w:sz w:val="20"/>
                <w:szCs w:val="20"/>
                <w:color w:val="auto"/>
              </w:rPr>
            </w:pPr>
            <w:r>
              <w:rPr>
                <w:rFonts w:ascii="Times New Roman" w:cs="Times New Roman" w:eastAsia="Times New Roman" w:hAnsi="Times New Roman"/>
                <w:sz w:val="18"/>
                <w:szCs w:val="18"/>
                <w:color w:val="auto"/>
              </w:rPr>
              <w:t>Number of Units (1)(2)</w:t>
            </w:r>
          </w:p>
        </w:tc>
      </w:tr>
      <w:tr>
        <w:trPr>
          <w:trHeight w:val="209"/>
        </w:trPr>
        <w:tc>
          <w:tcPr>
            <w:tcW w:w="552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John Climaco, President - Chief Executive Officer</w:t>
            </w:r>
          </w:p>
        </w:tc>
        <w:tc>
          <w:tcPr>
            <w:tcW w:w="220" w:type="dxa"/>
            <w:vAlign w:val="bottom"/>
            <w:tcBorders>
              <w:top w:val="single" w:sz="8" w:color="EEEEEE"/>
            </w:tcBorders>
            <w:shd w:val="clear" w:color="auto" w:fill="EEEEEE"/>
          </w:tcPr>
          <w:p>
            <w:pPr>
              <w:spacing w:after="0"/>
              <w:rPr>
                <w:sz w:val="18"/>
                <w:szCs w:val="18"/>
                <w:color w:val="auto"/>
              </w:rPr>
            </w:pPr>
          </w:p>
        </w:tc>
        <w:tc>
          <w:tcPr>
            <w:tcW w:w="44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9,769</w:t>
            </w:r>
          </w:p>
        </w:tc>
        <w:tc>
          <w:tcPr>
            <w:tcW w:w="5060" w:type="dxa"/>
            <w:vAlign w:val="bottom"/>
            <w:tcBorders>
              <w:top w:val="single" w:sz="8" w:color="auto"/>
            </w:tcBorders>
            <w:shd w:val="clear" w:color="auto" w:fill="EEEEEE"/>
          </w:tcPr>
          <w:p>
            <w:pPr>
              <w:ind w:left="20"/>
              <w:spacing w:after="0"/>
              <w:rPr>
                <w:sz w:val="20"/>
                <w:szCs w:val="20"/>
                <w:color w:val="auto"/>
              </w:rPr>
            </w:pPr>
            <w:r>
              <w:rPr>
                <w:rFonts w:ascii="Times New Roman" w:cs="Times New Roman" w:eastAsia="Times New Roman" w:hAnsi="Times New Roman"/>
                <w:sz w:val="18"/>
                <w:szCs w:val="18"/>
                <w:color w:val="auto"/>
              </w:rPr>
              <w:t>Stock Options and 7 Restricted Stock Units</w:t>
            </w:r>
          </w:p>
        </w:tc>
      </w:tr>
      <w:tr>
        <w:trPr>
          <w:trHeight w:val="216"/>
        </w:trPr>
        <w:tc>
          <w:tcPr>
            <w:tcW w:w="55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5060" w:type="dxa"/>
            <w:vAlign w:val="bottom"/>
          </w:tcPr>
          <w:p>
            <w:pPr>
              <w:spacing w:after="0"/>
              <w:rPr>
                <w:sz w:val="18"/>
                <w:szCs w:val="18"/>
                <w:color w:val="auto"/>
              </w:rPr>
            </w:pPr>
          </w:p>
        </w:tc>
      </w:tr>
      <w:tr>
        <w:trPr>
          <w:trHeight w:val="216"/>
        </w:trPr>
        <w:tc>
          <w:tcPr>
            <w:tcW w:w="552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Christopher S. Downs, Chief Financial Officer</w:t>
            </w:r>
          </w:p>
        </w:tc>
        <w:tc>
          <w:tcPr>
            <w:tcW w:w="660" w:type="dxa"/>
            <w:vAlign w:val="bottom"/>
            <w:gridSpan w:val="2"/>
            <w:shd w:val="clear" w:color="auto" w:fill="EEEEEE"/>
          </w:tcPr>
          <w:p>
            <w:pPr>
              <w:ind w:left="220"/>
              <w:spacing w:after="0"/>
              <w:rPr>
                <w:sz w:val="20"/>
                <w:szCs w:val="20"/>
                <w:color w:val="auto"/>
              </w:rPr>
            </w:pPr>
            <w:r>
              <w:rPr>
                <w:rFonts w:ascii="Times New Roman" w:cs="Times New Roman" w:eastAsia="Times New Roman" w:hAnsi="Times New Roman"/>
                <w:sz w:val="18"/>
                <w:szCs w:val="18"/>
                <w:color w:val="auto"/>
              </w:rPr>
              <w:t>4,888</w:t>
            </w:r>
          </w:p>
        </w:tc>
        <w:tc>
          <w:tcPr>
            <w:tcW w:w="5060" w:type="dxa"/>
            <w:vAlign w:val="bottom"/>
            <w:shd w:val="clear" w:color="auto" w:fill="EEEEEE"/>
          </w:tcPr>
          <w:p>
            <w:pPr>
              <w:ind w:left="20"/>
              <w:spacing w:after="0"/>
              <w:rPr>
                <w:sz w:val="20"/>
                <w:szCs w:val="20"/>
                <w:color w:val="auto"/>
              </w:rPr>
            </w:pPr>
            <w:r>
              <w:rPr>
                <w:rFonts w:ascii="Times New Roman" w:cs="Times New Roman" w:eastAsia="Times New Roman" w:hAnsi="Times New Roman"/>
                <w:sz w:val="18"/>
                <w:szCs w:val="18"/>
                <w:color w:val="auto"/>
              </w:rPr>
              <w:t>Stock Options and 7 Restricted Stock Units</w:t>
            </w:r>
          </w:p>
        </w:tc>
      </w:tr>
      <w:tr>
        <w:trPr>
          <w:trHeight w:val="216"/>
        </w:trPr>
        <w:tc>
          <w:tcPr>
            <w:tcW w:w="55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5060" w:type="dxa"/>
            <w:vAlign w:val="bottom"/>
          </w:tcPr>
          <w:p>
            <w:pPr>
              <w:spacing w:after="0"/>
              <w:rPr>
                <w:sz w:val="18"/>
                <w:szCs w:val="18"/>
                <w:color w:val="auto"/>
              </w:rPr>
            </w:pPr>
          </w:p>
        </w:tc>
      </w:tr>
      <w:tr>
        <w:trPr>
          <w:trHeight w:val="216"/>
        </w:trPr>
        <w:tc>
          <w:tcPr>
            <w:tcW w:w="552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Sandra Silberman, Chief Medical Officer</w:t>
            </w:r>
          </w:p>
        </w:tc>
        <w:tc>
          <w:tcPr>
            <w:tcW w:w="660" w:type="dxa"/>
            <w:vAlign w:val="bottom"/>
            <w:gridSpan w:val="2"/>
            <w:shd w:val="clear" w:color="auto" w:fill="EEEEEE"/>
          </w:tcPr>
          <w:p>
            <w:pPr>
              <w:ind w:left="220"/>
              <w:spacing w:after="0"/>
              <w:rPr>
                <w:sz w:val="20"/>
                <w:szCs w:val="20"/>
                <w:color w:val="auto"/>
              </w:rPr>
            </w:pPr>
            <w:r>
              <w:rPr>
                <w:rFonts w:ascii="Times New Roman" w:cs="Times New Roman" w:eastAsia="Times New Roman" w:hAnsi="Times New Roman"/>
                <w:sz w:val="18"/>
                <w:szCs w:val="18"/>
                <w:color w:val="auto"/>
              </w:rPr>
              <w:t>2,448</w:t>
            </w:r>
          </w:p>
        </w:tc>
        <w:tc>
          <w:tcPr>
            <w:tcW w:w="5060" w:type="dxa"/>
            <w:vAlign w:val="bottom"/>
            <w:shd w:val="clear" w:color="auto" w:fill="EEEEEE"/>
          </w:tcPr>
          <w:p>
            <w:pPr>
              <w:ind w:left="20"/>
              <w:spacing w:after="0"/>
              <w:rPr>
                <w:sz w:val="20"/>
                <w:szCs w:val="20"/>
                <w:color w:val="auto"/>
              </w:rPr>
            </w:pPr>
            <w:r>
              <w:rPr>
                <w:rFonts w:ascii="Times New Roman" w:cs="Times New Roman" w:eastAsia="Times New Roman" w:hAnsi="Times New Roman"/>
                <w:sz w:val="18"/>
                <w:szCs w:val="18"/>
                <w:color w:val="auto"/>
              </w:rPr>
              <w:t>Stock Options and 5 Restricted Stock Units</w:t>
            </w:r>
          </w:p>
        </w:tc>
      </w:tr>
      <w:tr>
        <w:trPr>
          <w:trHeight w:val="216"/>
        </w:trPr>
        <w:tc>
          <w:tcPr>
            <w:tcW w:w="55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500" w:type="dxa"/>
            <w:vAlign w:val="bottom"/>
            <w:gridSpan w:val="2"/>
          </w:tcPr>
          <w:p>
            <w:pPr>
              <w:spacing w:after="0"/>
              <w:rPr>
                <w:sz w:val="18"/>
                <w:szCs w:val="18"/>
                <w:color w:val="auto"/>
              </w:rPr>
            </w:pPr>
          </w:p>
        </w:tc>
      </w:tr>
      <w:tr>
        <w:trPr>
          <w:trHeight w:val="216"/>
        </w:trPr>
        <w:tc>
          <w:tcPr>
            <w:tcW w:w="552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Executive Group:</w:t>
            </w:r>
          </w:p>
        </w:tc>
        <w:tc>
          <w:tcPr>
            <w:tcW w:w="5720" w:type="dxa"/>
            <w:vAlign w:val="bottom"/>
            <w:gridSpan w:val="3"/>
            <w:shd w:val="clear" w:color="auto" w:fill="EEEEEE"/>
          </w:tcPr>
          <w:p>
            <w:pPr>
              <w:ind w:left="220"/>
              <w:spacing w:after="0"/>
              <w:rPr>
                <w:sz w:val="20"/>
                <w:szCs w:val="20"/>
                <w:color w:val="auto"/>
              </w:rPr>
            </w:pPr>
            <w:r>
              <w:rPr>
                <w:rFonts w:ascii="Times New Roman" w:cs="Times New Roman" w:eastAsia="Times New Roman" w:hAnsi="Times New Roman"/>
                <w:sz w:val="18"/>
                <w:szCs w:val="18"/>
                <w:color w:val="auto"/>
              </w:rPr>
              <w:t>17,105 Stock Options and 19 Restricted Stock Units</w:t>
            </w:r>
          </w:p>
        </w:tc>
      </w:tr>
      <w:tr>
        <w:trPr>
          <w:trHeight w:val="216"/>
        </w:trPr>
        <w:tc>
          <w:tcPr>
            <w:tcW w:w="55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5060" w:type="dxa"/>
            <w:vAlign w:val="bottom"/>
          </w:tcPr>
          <w:p>
            <w:pPr>
              <w:spacing w:after="0"/>
              <w:rPr>
                <w:sz w:val="18"/>
                <w:szCs w:val="18"/>
                <w:color w:val="auto"/>
              </w:rPr>
            </w:pPr>
          </w:p>
        </w:tc>
      </w:tr>
      <w:tr>
        <w:trPr>
          <w:trHeight w:val="216"/>
        </w:trPr>
        <w:tc>
          <w:tcPr>
            <w:tcW w:w="552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Non-Executive Director Group:</w:t>
            </w:r>
          </w:p>
        </w:tc>
        <w:tc>
          <w:tcPr>
            <w:tcW w:w="660" w:type="dxa"/>
            <w:vAlign w:val="bottom"/>
            <w:gridSpan w:val="2"/>
            <w:shd w:val="clear" w:color="auto" w:fill="EEEEEE"/>
          </w:tcPr>
          <w:p>
            <w:pPr>
              <w:ind w:left="220"/>
              <w:spacing w:after="0"/>
              <w:rPr>
                <w:sz w:val="20"/>
                <w:szCs w:val="20"/>
                <w:color w:val="auto"/>
              </w:rPr>
            </w:pPr>
            <w:r>
              <w:rPr>
                <w:rFonts w:ascii="Times New Roman" w:cs="Times New Roman" w:eastAsia="Times New Roman" w:hAnsi="Times New Roman"/>
                <w:sz w:val="18"/>
                <w:szCs w:val="18"/>
                <w:color w:val="auto"/>
              </w:rPr>
              <w:t>7,606</w:t>
            </w:r>
          </w:p>
        </w:tc>
        <w:tc>
          <w:tcPr>
            <w:tcW w:w="5060" w:type="dxa"/>
            <w:vAlign w:val="bottom"/>
            <w:shd w:val="clear" w:color="auto" w:fill="EEEEEE"/>
          </w:tcPr>
          <w:p>
            <w:pPr>
              <w:ind w:left="20"/>
              <w:spacing w:after="0"/>
              <w:rPr>
                <w:sz w:val="20"/>
                <w:szCs w:val="20"/>
                <w:color w:val="auto"/>
              </w:rPr>
            </w:pPr>
            <w:r>
              <w:rPr>
                <w:rFonts w:ascii="Times New Roman" w:cs="Times New Roman" w:eastAsia="Times New Roman" w:hAnsi="Times New Roman"/>
                <w:sz w:val="18"/>
                <w:szCs w:val="18"/>
                <w:color w:val="auto"/>
              </w:rPr>
              <w:t>Stock Options and 5 Restricted Stock Units</w:t>
            </w:r>
          </w:p>
        </w:tc>
      </w:tr>
      <w:tr>
        <w:trPr>
          <w:trHeight w:val="216"/>
        </w:trPr>
        <w:tc>
          <w:tcPr>
            <w:tcW w:w="55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5060" w:type="dxa"/>
            <w:vAlign w:val="bottom"/>
          </w:tcPr>
          <w:p>
            <w:pPr>
              <w:spacing w:after="0"/>
              <w:rPr>
                <w:sz w:val="18"/>
                <w:szCs w:val="18"/>
                <w:color w:val="auto"/>
              </w:rPr>
            </w:pPr>
          </w:p>
        </w:tc>
      </w:tr>
      <w:tr>
        <w:trPr>
          <w:trHeight w:val="216"/>
        </w:trPr>
        <w:tc>
          <w:tcPr>
            <w:tcW w:w="552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Non-Executive Officer Employee Group:</w:t>
            </w:r>
          </w:p>
        </w:tc>
        <w:tc>
          <w:tcPr>
            <w:tcW w:w="660" w:type="dxa"/>
            <w:vAlign w:val="bottom"/>
            <w:gridSpan w:val="2"/>
            <w:shd w:val="clear" w:color="auto" w:fill="EEEEEE"/>
          </w:tcPr>
          <w:p>
            <w:pPr>
              <w:ind w:left="220"/>
              <w:spacing w:after="0"/>
              <w:rPr>
                <w:sz w:val="20"/>
                <w:szCs w:val="20"/>
                <w:color w:val="auto"/>
              </w:rPr>
            </w:pPr>
            <w:r>
              <w:rPr>
                <w:rFonts w:ascii="Times New Roman" w:cs="Times New Roman" w:eastAsia="Times New Roman" w:hAnsi="Times New Roman"/>
                <w:sz w:val="18"/>
                <w:szCs w:val="18"/>
                <w:color w:val="auto"/>
              </w:rPr>
              <w:t>4,895</w:t>
            </w:r>
          </w:p>
        </w:tc>
        <w:tc>
          <w:tcPr>
            <w:tcW w:w="5060" w:type="dxa"/>
            <w:vAlign w:val="bottom"/>
            <w:shd w:val="clear" w:color="auto" w:fill="EEEEEE"/>
          </w:tcPr>
          <w:p>
            <w:pPr>
              <w:ind w:left="20"/>
              <w:spacing w:after="0"/>
              <w:rPr>
                <w:sz w:val="20"/>
                <w:szCs w:val="20"/>
                <w:color w:val="auto"/>
              </w:rPr>
            </w:pPr>
            <w:r>
              <w:rPr>
                <w:rFonts w:ascii="Times New Roman" w:cs="Times New Roman" w:eastAsia="Times New Roman" w:hAnsi="Times New Roman"/>
                <w:sz w:val="18"/>
                <w:szCs w:val="18"/>
                <w:color w:val="auto"/>
              </w:rPr>
              <w:t>Stock Options and 10 Restricted Stock Units</w:t>
            </w:r>
          </w:p>
        </w:tc>
      </w:tr>
    </w:tbl>
    <w:p>
      <w:pPr>
        <w:spacing w:after="0" w:line="198" w:lineRule="exact"/>
        <w:rPr>
          <w:sz w:val="20"/>
          <w:szCs w:val="20"/>
          <w:color w:val="auto"/>
        </w:rPr>
      </w:pPr>
    </w:p>
    <w:p>
      <w:pPr>
        <w:jc w:val="both"/>
        <w:ind w:firstLine="8"/>
        <w:spacing w:after="0" w:line="266" w:lineRule="auto"/>
        <w:tabs>
          <w:tab w:leader="none" w:pos="258"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table includes grants approved by the compensation committee on March 11, 2025 but which are subject to stockholder approval of this Proposal 6 increasing the shares available under 2020 Plan. These grants include options for 9,761 shares for Mr. Climaco, 4,881 for Mr. Downs, 2,441 for Ms. Silberman, and 4,882 for other members of the Non-Executive Officer Employee Group. These options have a strike price of $30.00 and a 10-year term.</w:t>
      </w:r>
    </w:p>
    <w:p>
      <w:pPr>
        <w:spacing w:after="0" w:line="175" w:lineRule="exact"/>
        <w:rPr>
          <w:rFonts w:ascii="Times New Roman" w:cs="Times New Roman" w:eastAsia="Times New Roman" w:hAnsi="Times New Roman"/>
          <w:sz w:val="18"/>
          <w:szCs w:val="18"/>
          <w:color w:val="auto"/>
        </w:rPr>
      </w:pPr>
    </w:p>
    <w:p>
      <w:pPr>
        <w:jc w:val="both"/>
        <w:ind w:firstLine="8"/>
        <w:spacing w:after="0" w:line="266" w:lineRule="auto"/>
        <w:tabs>
          <w:tab w:leader="none" w:pos="262"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table includes grants recommended by the compensation committee and approved by the board of directors for non-employee directors on June 6, 2025 but which are subject to stockholder approval of this Proposal 6 increasing the shares under 2020 Plan. These grants include options for 1,517 shares each for Ms. Charles, Dr. Cockroft, Dr. Gumulka, Mr. Keyes and Ms. Mahery. These options have a strike price of $12.12 and a 10-year term.</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On October 8, 2025, the last reported sales price for the common stock was $10.57 per share.</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36" w:name="page37"/>
    <w:bookmarkEnd w:id="36"/>
    <w:p>
      <w:pPr>
        <w:spacing w:after="0"/>
        <w:rPr>
          <w:sz w:val="20"/>
          <w:szCs w:val="20"/>
          <w:color w:val="auto"/>
        </w:rPr>
      </w:pPr>
      <w:r>
        <w:rPr>
          <w:rFonts w:ascii="Times New Roman" w:cs="Times New Roman" w:eastAsia="Times New Roman" w:hAnsi="Times New Roman"/>
          <w:sz w:val="18"/>
          <w:szCs w:val="18"/>
          <w:b w:val="1"/>
          <w:bCs w:val="1"/>
          <w:color w:val="auto"/>
        </w:rPr>
        <w:t>New Plan Benefits</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It is not possible at this time to determine the specific awards that will be made in the future under the 2020 Plan, including with regard to the individuals and groups listed above under the heading “</w:t>
      </w:r>
      <w:r>
        <w:rPr>
          <w:rFonts w:ascii="Times New Roman" w:cs="Times New Roman" w:eastAsia="Times New Roman" w:hAnsi="Times New Roman"/>
          <w:sz w:val="18"/>
          <w:szCs w:val="18"/>
          <w:i w:val="1"/>
          <w:iCs w:val="1"/>
          <w:color w:val="auto"/>
        </w:rPr>
        <w:t>Awards Granted Under the 2020 Plan</w:t>
      </w:r>
      <w:r>
        <w:rPr>
          <w:rFonts w:ascii="Times New Roman" w:cs="Times New Roman" w:eastAsia="Times New Roman" w:hAnsi="Times New Roman"/>
          <w:sz w:val="18"/>
          <w:szCs w:val="18"/>
          <w:color w:val="auto"/>
        </w:rPr>
        <w:t>.”</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Securities Authorized for Issuance under Equity Compensation Plans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following table sets forth information regarding our equity compensation plans at December 31, 2024:</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Number of</w:t>
            </w:r>
          </w:p>
        </w:tc>
      </w:tr>
      <w:tr>
        <w:trPr>
          <w:trHeight w:val="216"/>
        </w:trPr>
        <w:tc>
          <w:tcPr>
            <w:tcW w:w="5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securities (by class)</w:t>
            </w:r>
          </w:p>
        </w:tc>
      </w:tr>
      <w:tr>
        <w:trPr>
          <w:trHeight w:val="216"/>
        </w:trPr>
        <w:tc>
          <w:tcPr>
            <w:tcW w:w="5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remaining available</w:t>
            </w:r>
          </w:p>
        </w:tc>
      </w:tr>
      <w:tr>
        <w:trPr>
          <w:trHeight w:val="216"/>
        </w:trPr>
        <w:tc>
          <w:tcPr>
            <w:tcW w:w="5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Number of</w:t>
            </w: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for future issuance</w:t>
            </w:r>
          </w:p>
        </w:tc>
      </w:tr>
      <w:tr>
        <w:trPr>
          <w:trHeight w:val="216"/>
        </w:trPr>
        <w:tc>
          <w:tcPr>
            <w:tcW w:w="5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securities to be</w:t>
            </w: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under equity</w:t>
            </w:r>
          </w:p>
        </w:tc>
      </w:tr>
      <w:tr>
        <w:trPr>
          <w:trHeight w:val="216"/>
        </w:trPr>
        <w:tc>
          <w:tcPr>
            <w:tcW w:w="5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issued upon exercise</w:t>
            </w:r>
          </w:p>
        </w:tc>
        <w:tc>
          <w:tcPr>
            <w:tcW w:w="100" w:type="dxa"/>
            <w:vAlign w:val="bottom"/>
          </w:tcPr>
          <w:p>
            <w:pPr>
              <w:spacing w:after="0"/>
              <w:rPr>
                <w:sz w:val="18"/>
                <w:szCs w:val="18"/>
                <w:color w:val="auto"/>
              </w:rPr>
            </w:pPr>
          </w:p>
        </w:tc>
        <w:tc>
          <w:tcPr>
            <w:tcW w:w="168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8"/>
              </w:rPr>
              <w:t>Weighted-average</w:t>
            </w: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compensation</w:t>
            </w:r>
          </w:p>
        </w:tc>
      </w:tr>
      <w:tr>
        <w:trPr>
          <w:trHeight w:val="216"/>
        </w:trPr>
        <w:tc>
          <w:tcPr>
            <w:tcW w:w="5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of outstanding</w:t>
            </w:r>
          </w:p>
        </w:tc>
        <w:tc>
          <w:tcPr>
            <w:tcW w:w="100" w:type="dxa"/>
            <w:vAlign w:val="bottom"/>
          </w:tcPr>
          <w:p>
            <w:pPr>
              <w:spacing w:after="0"/>
              <w:rPr>
                <w:sz w:val="18"/>
                <w:szCs w:val="18"/>
                <w:color w:val="auto"/>
              </w:rPr>
            </w:pPr>
          </w:p>
        </w:tc>
        <w:tc>
          <w:tcPr>
            <w:tcW w:w="168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rPr>
              <w:t>exercise price of</w:t>
            </w: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plans (excluding</w:t>
            </w:r>
          </w:p>
        </w:tc>
      </w:tr>
      <w:tr>
        <w:trPr>
          <w:trHeight w:val="216"/>
        </w:trPr>
        <w:tc>
          <w:tcPr>
            <w:tcW w:w="5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options,</w:t>
            </w:r>
          </w:p>
        </w:tc>
        <w:tc>
          <w:tcPr>
            <w:tcW w:w="1780" w:type="dxa"/>
            <w:vAlign w:val="bottom"/>
            <w:gridSpan w:val="3"/>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outstanding options,</w:t>
            </w:r>
          </w:p>
        </w:tc>
        <w:tc>
          <w:tcPr>
            <w:tcW w:w="16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securities reflected</w:t>
            </w:r>
          </w:p>
        </w:tc>
      </w:tr>
      <w:tr>
        <w:trPr>
          <w:trHeight w:val="216"/>
        </w:trPr>
        <w:tc>
          <w:tcPr>
            <w:tcW w:w="5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warrants and rights</w:t>
            </w:r>
          </w:p>
        </w:tc>
        <w:tc>
          <w:tcPr>
            <w:tcW w:w="178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warrants and rights</w:t>
            </w:r>
          </w:p>
        </w:tc>
        <w:tc>
          <w:tcPr>
            <w:tcW w:w="168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in column (a))</w:t>
            </w:r>
          </w:p>
        </w:tc>
      </w:tr>
      <w:tr>
        <w:trPr>
          <w:trHeight w:val="238"/>
        </w:trPr>
        <w:tc>
          <w:tcPr>
            <w:tcW w:w="598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Plan category</w:t>
            </w:r>
          </w:p>
        </w:tc>
        <w:tc>
          <w:tcPr>
            <w:tcW w:w="180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(a)</w:t>
            </w:r>
          </w:p>
        </w:tc>
        <w:tc>
          <w:tcPr>
            <w:tcW w:w="100" w:type="dxa"/>
            <w:vAlign w:val="bottom"/>
          </w:tcPr>
          <w:p>
            <w:pPr>
              <w:spacing w:after="0"/>
              <w:rPr>
                <w:sz w:val="20"/>
                <w:szCs w:val="20"/>
                <w:color w:val="auto"/>
              </w:rPr>
            </w:pPr>
          </w:p>
        </w:tc>
        <w:tc>
          <w:tcPr>
            <w:tcW w:w="1680" w:type="dxa"/>
            <w:vAlign w:val="bottom"/>
            <w:gridSpan w:val="2"/>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9"/>
              </w:rPr>
              <w:t>(b)</w:t>
            </w:r>
          </w:p>
        </w:tc>
        <w:tc>
          <w:tcPr>
            <w:tcW w:w="168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(c)</w:t>
            </w:r>
          </w:p>
        </w:tc>
      </w:tr>
      <w:tr>
        <w:trPr>
          <w:trHeight w:val="209"/>
        </w:trPr>
        <w:tc>
          <w:tcPr>
            <w:tcW w:w="5860" w:type="dxa"/>
            <w:vAlign w:val="bottom"/>
            <w:tcBorders>
              <w:top w:val="single" w:sz="8" w:color="auto"/>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Equity compensation plans approved by security holders (1)</w:t>
            </w:r>
          </w:p>
        </w:tc>
        <w:tc>
          <w:tcPr>
            <w:tcW w:w="120" w:type="dxa"/>
            <w:vAlign w:val="bottom"/>
            <w:tcBorders>
              <w:top w:val="single" w:sz="8" w:color="EEEEEE"/>
            </w:tcBorders>
            <w:shd w:val="clear" w:color="auto" w:fill="EEEEEE"/>
          </w:tcPr>
          <w:p>
            <w:pPr>
              <w:spacing w:after="0"/>
              <w:rPr>
                <w:sz w:val="18"/>
                <w:szCs w:val="18"/>
                <w:color w:val="auto"/>
              </w:rPr>
            </w:pPr>
          </w:p>
        </w:tc>
        <w:tc>
          <w:tcPr>
            <w:tcW w:w="15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98</w:t>
            </w:r>
          </w:p>
        </w:tc>
        <w:tc>
          <w:tcPr>
            <w:tcW w:w="220" w:type="dxa"/>
            <w:vAlign w:val="bottom"/>
            <w:tcBorders>
              <w:top w:val="single" w:sz="8" w:color="EEEEEE"/>
            </w:tcBorders>
            <w:shd w:val="clear" w:color="auto" w:fill="EEEEEE"/>
          </w:tcPr>
          <w:p>
            <w:pPr>
              <w:spacing w:after="0"/>
              <w:rPr>
                <w:sz w:val="18"/>
                <w:szCs w:val="18"/>
                <w:color w:val="auto"/>
              </w:rPr>
            </w:pPr>
          </w:p>
        </w:tc>
        <w:tc>
          <w:tcPr>
            <w:tcW w:w="10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46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$772,562.06</w:t>
            </w:r>
          </w:p>
        </w:tc>
        <w:tc>
          <w:tcPr>
            <w:tcW w:w="220" w:type="dxa"/>
            <w:vAlign w:val="bottom"/>
            <w:tcBorders>
              <w:top w:val="single" w:sz="8" w:color="EEEEEE"/>
            </w:tcBorders>
            <w:shd w:val="clear" w:color="auto" w:fill="EEEEEE"/>
          </w:tcPr>
          <w:p>
            <w:pPr>
              <w:spacing w:after="0"/>
              <w:rPr>
                <w:sz w:val="18"/>
                <w:szCs w:val="18"/>
                <w:color w:val="auto"/>
              </w:rPr>
            </w:pPr>
          </w:p>
        </w:tc>
        <w:tc>
          <w:tcPr>
            <w:tcW w:w="1580" w:type="dxa"/>
            <w:vAlign w:val="bottom"/>
            <w:tcBorders>
              <w:top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62</w:t>
            </w:r>
          </w:p>
        </w:tc>
        <w:tc>
          <w:tcPr>
            <w:tcW w:w="100" w:type="dxa"/>
            <w:vAlign w:val="bottom"/>
            <w:tcBorders>
              <w:top w:val="single" w:sz="8" w:color="EEEEEE"/>
            </w:tcBorders>
            <w:shd w:val="clear" w:color="auto" w:fill="EEEEEE"/>
          </w:tcPr>
          <w:p>
            <w:pPr>
              <w:spacing w:after="0"/>
              <w:rPr>
                <w:sz w:val="18"/>
                <w:szCs w:val="18"/>
                <w:color w:val="auto"/>
              </w:rPr>
            </w:pPr>
          </w:p>
        </w:tc>
      </w:tr>
      <w:tr>
        <w:trPr>
          <w:trHeight w:val="234"/>
        </w:trPr>
        <w:tc>
          <w:tcPr>
            <w:tcW w:w="59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Equity compensation plans not approved by security holders</w:t>
            </w:r>
          </w:p>
        </w:tc>
        <w:tc>
          <w:tcPr>
            <w:tcW w:w="180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jc w:val="right"/>
              <w:spacing w:after="0"/>
              <w:rPr>
                <w:sz w:val="20"/>
                <w:szCs w:val="20"/>
                <w:color w:val="auto"/>
              </w:rPr>
            </w:pPr>
            <w:r>
              <w:rPr>
                <w:rFonts w:ascii="Times New Roman" w:cs="Times New Roman" w:eastAsia="Times New Roman" w:hAnsi="Times New Roman"/>
                <w:sz w:val="18"/>
                <w:szCs w:val="18"/>
                <w:color w:val="auto"/>
                <w:w w:val="88"/>
              </w:rPr>
              <w:t>$</w:t>
            </w:r>
          </w:p>
        </w:tc>
        <w:tc>
          <w:tcPr>
            <w:tcW w:w="1680" w:type="dxa"/>
            <w:vAlign w:val="bottom"/>
            <w:gridSpan w:val="2"/>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680" w:type="dxa"/>
            <w:vAlign w:val="bottom"/>
            <w:gridSpan w:val="2"/>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r>
    </w:tbl>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(1) Represents shares of common stock issuable upon exercise of outstanding stock options and rights under our 2017 and 2020 Stock Plans.</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Vote Required and Recommendation of the Board of Directors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 xml:space="preserve">The approval of this Proposal 6 requires the number of votes cast in favor of the proposal to exceed the number of votes cast against the action. Abstentions and broker non-votes will have no effect on this proposal. </w:t>
      </w:r>
      <w:r>
        <w:rPr>
          <w:rFonts w:ascii="Times New Roman" w:cs="Times New Roman" w:eastAsia="Times New Roman" w:hAnsi="Times New Roman"/>
          <w:sz w:val="18"/>
          <w:szCs w:val="18"/>
          <w:b w:val="1"/>
          <w:bCs w:val="1"/>
          <w:color w:val="auto"/>
        </w:rPr>
        <w:t>The Board recommends that stockholders vote FOR the amendments to the 2020 Plan</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including an increase in the number of shares of common stock authorized for issuance under the 2020 Plan.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7" w:name="page38"/>
    <w:bookmarkEnd w:id="37"/>
    <w:p>
      <w:pPr>
        <w:jc w:val="center"/>
        <w:spacing w:after="0"/>
        <w:rPr>
          <w:sz w:val="20"/>
          <w:szCs w:val="20"/>
          <w:color w:val="auto"/>
        </w:rPr>
      </w:pPr>
      <w:r>
        <w:rPr>
          <w:rFonts w:ascii="Times New Roman" w:cs="Times New Roman" w:eastAsia="Times New Roman" w:hAnsi="Times New Roman"/>
          <w:sz w:val="18"/>
          <w:szCs w:val="18"/>
          <w:b w:val="1"/>
          <w:bCs w:val="1"/>
          <w:color w:val="auto"/>
        </w:rPr>
        <w:t>PROPOSAL 7:</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AUTHORIZATION TO ADJOURN THE ANNUAL MEETING</w:t>
      </w:r>
    </w:p>
    <w:p>
      <w:pPr>
        <w:spacing w:after="0" w:line="207"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If the Annual Meeting is convened and a quorum is present, but there are not sufficient votes to approve the above proposals, one or more of our proxy holders may move to adjourn the Annual Meeting at that time in order to enable our Board to solicit additional proxies.</w:t>
      </w:r>
    </w:p>
    <w:p>
      <w:pPr>
        <w:spacing w:after="0" w:line="162"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In this proposal, we are asking our stockholders to authorize one or more of our proxy holders to adjourn the Annual Meeting to another time and place, if necessary, to solicit additional proxies in the event that there are not sufficient votes to approve the above proposals. If our stockholders approve this proposal, one or more of our proxy holders can adjourn the Annual Meeting and any adjourned session of the Annual Meeting to allow for additional time to solicit additional proxies, including the solicitation of proxies from our stockholders that have previously voted. Among other things, approval of this proposal could mean that, even if we had received proxies representing a sufficient number of votes to defeat any or all of the above proposals, we could adjourn the Annual Meeting without a vote on such proposals and seek to convince our stockholders to change their votes in favor of such proposals.</w:t>
      </w:r>
    </w:p>
    <w:p>
      <w:pPr>
        <w:spacing w:after="0" w:line="18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If it is necessary to adjourn the Annual Meeting, no notice of the adjourned meeting is required to be given to our stockholders, other than an announcement at the Annual Meeting of the time and place to which the Annual Meeting is adjourned, so long as the meeting is adjourned for 60 days or less and no new record date is fixed for the adjourned meeting. At the adjourned meeting, we may transact any business which might have been transacted at the original meeting.</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Vote Required and Recommendation of the Board of Directors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 xml:space="preserve">The approval of Proposal 7 requires the number of votes cast in favor of the proposal to exceed the number of votes cast against the action. Abstentions and broker non-votes will have no effect on this proposal. </w:t>
      </w:r>
      <w:r>
        <w:rPr>
          <w:rFonts w:ascii="Times New Roman" w:cs="Times New Roman" w:eastAsia="Times New Roman" w:hAnsi="Times New Roman"/>
          <w:sz w:val="18"/>
          <w:szCs w:val="18"/>
          <w:b w:val="1"/>
          <w:bCs w:val="1"/>
          <w:color w:val="auto"/>
        </w:rPr>
        <w:t>The Board recommends that stockholders vote FOR the approval to authorize the adjournment</w:t>
      </w:r>
      <w:r>
        <w:rPr>
          <w:rFonts w:ascii="Times New Roman" w:cs="Times New Roman" w:eastAsia="Times New Roman" w:hAnsi="Times New Roman"/>
          <w:sz w:val="18"/>
          <w:szCs w:val="18"/>
          <w:color w:val="auto"/>
        </w:rPr>
        <w:t xml:space="preserve"> </w:t>
      </w:r>
      <w:r>
        <w:rPr>
          <w:rFonts w:ascii="Times New Roman" w:cs="Times New Roman" w:eastAsia="Times New Roman" w:hAnsi="Times New Roman"/>
          <w:sz w:val="18"/>
          <w:szCs w:val="18"/>
          <w:b w:val="1"/>
          <w:bCs w:val="1"/>
          <w:color w:val="auto"/>
        </w:rPr>
        <w:t>of the Annual Meeting, if necessary, to solicit additional proxies if there are not sufficient votes in favor of the above proposals.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8" w:name="page39"/>
    <w:bookmarkEnd w:id="38"/>
    <w:p>
      <w:pPr>
        <w:jc w:val="center"/>
        <w:spacing w:after="0"/>
        <w:rPr>
          <w:sz w:val="20"/>
          <w:szCs w:val="20"/>
          <w:color w:val="auto"/>
        </w:rPr>
      </w:pPr>
      <w:r>
        <w:rPr>
          <w:rFonts w:ascii="Times New Roman" w:cs="Times New Roman" w:eastAsia="Times New Roman" w:hAnsi="Times New Roman"/>
          <w:sz w:val="18"/>
          <w:szCs w:val="18"/>
          <w:b w:val="1"/>
          <w:bCs w:val="1"/>
          <w:color w:val="auto"/>
        </w:rPr>
        <w:t>AUDIT COMMITTEE REPORT</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Audit Committee assists the Board of Directors with its oversight responsibilities regarding the Company’s financial reporting process. The Company’s management is responsible for the preparation, presentation and integrity of the Company’s financial statements and the reporting process, including the Company’s accounting policies, internal control over financial reporting and disclosure controls and procedures. MaloneBailey LLP, the Company’s independent registered public accounting firm, is responsible for performing an audit of the Company’s financial statements.</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have reviewed and discussed with management and MaloneBailey LLP the Company’s audited financial statements. We discussed with MaloneBailey LLP the overall scope and plans of their audit. We met with MaloneBailey LLP, with and without management present, to discuss the results of its examinations, its evaluation of the Company’s internal controls, and the overall quality of the Company’s financial reporting.</w:t>
      </w:r>
    </w:p>
    <w:p>
      <w:pPr>
        <w:spacing w:after="0" w:line="176"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With regard to the fiscal year ended December 31, 2024, the Audit Committee (i) reviewed and discussed with management the Company’s audited financial statements as of December 31, 2024, and for the year then ended; (ii) discussed with MaloneBailey LLP the matters required by Public Company Accounting Oversight Board (PCAOB) and the Securities and Exchange Commission; (iii) received the written disclosures and the letter from MaloneBailey LLP required by applicable requirements of the PCAOB regarding MaloneBailey LLP’s communications with the Audit Committee regarding independence; and (iv) discussed with MaloneBailey LLP their independence.</w:t>
      </w:r>
    </w:p>
    <w:p>
      <w:pPr>
        <w:spacing w:after="0" w:line="183"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Based on the review and discussions described above, the Audit Committee recommended to the Company’s Board of Directors that the Company’s audited financial statements be included in the Company’s Annual Report on Form 10-K for the fiscal year ended December 31, 2024, for filing with the Securities and Exchange Commission.</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Jeffry Keyes (Chair)</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Faith Charles</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Amy Mahery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9" w:name="page40"/>
    <w:bookmarkEnd w:id="39"/>
    <w:p>
      <w:pPr>
        <w:jc w:val="center"/>
        <w:spacing w:after="0"/>
        <w:rPr>
          <w:sz w:val="20"/>
          <w:szCs w:val="20"/>
          <w:color w:val="auto"/>
        </w:rPr>
      </w:pPr>
      <w:r>
        <w:rPr>
          <w:rFonts w:ascii="Times New Roman" w:cs="Times New Roman" w:eastAsia="Times New Roman" w:hAnsi="Times New Roman"/>
          <w:sz w:val="18"/>
          <w:szCs w:val="18"/>
          <w:b w:val="1"/>
          <w:bCs w:val="1"/>
          <w:color w:val="auto"/>
        </w:rPr>
        <w:t>AVAILABILITY OF ANNUAL REPORT ON FORM 10-K</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 copy of our 2024 Annual Report on Form 10-K has been mailed concurrently with this proxy statement to stockholders entitled to notice of and to vote at the Annual Meeting, provided that we have not included the exhibits to the Form 10-K. We will provide copies of these exhibits without cost upon request by eligible stockholders. Requests for copies of such exhibits should be mailed to CNS Pharmaceuticals, Inc., 2100 West Loop South, Suite 900, Houston, TX 77027, Attention: Corporate Secretary.</w:t>
      </w:r>
    </w:p>
    <w:p>
      <w:pPr>
        <w:spacing w:after="0" w:line="39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OTHER PROPOSED ACTION</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Board of Directors does not intend to bring any other matters before the Annual Meeting, nor does it know of any matters which other persons intend to bring before the Annual Meeting. If, however, other matters not mentioned in this proxy statement properly come before the Annual Meeting, the persons named in the accompanying form of proxy will vote thereon in accordance with the recommendation of the Board of Directors.</w:t>
      </w:r>
    </w:p>
    <w:p>
      <w:pPr>
        <w:spacing w:after="0" w:line="38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HOUSEHOLDING OF PROXY MATERIALS</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SEC has adopted rules that permit companies and intermediaries (e.g., brokers) to satisfy the delivery requirements for proxy materials with respect to two or more stockholders sharing the same address by delivering a single proxy statement addressed to those stockholders. This process, which is commonly referred to as “householding,” potentially means extra convenience for stockholders and cost savings for companies.</w:t>
      </w:r>
    </w:p>
    <w:p>
      <w:pPr>
        <w:spacing w:after="0" w:line="176"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This year, a number of brokers with account holders who are the Company’s stockholders may be “householding” our proxy materials. A single copy of the proxy materials may be delivered to multiple stockholders sharing an address unless contrary instructions have been received from the affected stockholders. Once you have received notice from your broker that they will be householding communications to your address, householding will continue until you are notified otherwise or until you revoke your consent. If, at any time, you no longer wish to participate in householding and would prefer to receive a separate copy of the proxy materials, please (1) notify your broker, or (2) direct your written request to CNS Pharmaceuticals, Inc., 2100 West Loop South, Suite 900, Houston, TX 77027, Attention: Corporate Secretary. Stockholders who currently receive multiple copies of the proxy materials at their address and would like to request householding of their communications should contact their brokers. In addition, upon written request to the address set forth above, we will promptly deliver a separate copy of the proxy materials to any stockholder at a shared address to which a single copy of the documents was delivered.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0" w:name="page41"/>
    <w:bookmarkEnd w:id="40"/>
    <w:p>
      <w:pPr>
        <w:jc w:val="center"/>
        <w:spacing w:after="0"/>
        <w:rPr>
          <w:sz w:val="20"/>
          <w:szCs w:val="20"/>
          <w:color w:val="auto"/>
        </w:rPr>
      </w:pPr>
      <w:r>
        <w:rPr>
          <w:rFonts w:ascii="Times New Roman" w:cs="Times New Roman" w:eastAsia="Times New Roman" w:hAnsi="Times New Roman"/>
          <w:sz w:val="18"/>
          <w:szCs w:val="18"/>
          <w:b w:val="1"/>
          <w:bCs w:val="1"/>
          <w:color w:val="auto"/>
        </w:rPr>
        <w:t>STOCKHOLDER PROPOSALS AND SUBMISSIONS</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In order to be eligible for inclusion in our proxy statement and form of proxy for our 2026 Annual Meeting, a proposal of a stockholder, including the submission of a stockholder nominee for election to our Board of Directors, must be received at our principal executive offices located in Houston, Texas no later than June 22, 2026 (the “Deadline”). For any proposal that a stockholder wishes to propose for consideration at the 2026 Annual Meeting but does not wish to include in the proxy materials for that meeting, our Amended and Restated Bylaws require a notice of the proposal to be delivered not less than 120 days prior to the anniversary of the mailing date of our proxy materials for the preceding annual meeting of stockholders. The notice of the proposal also must comply with the content requirements for such notices set forth in our Amended and Restated Bylaws.</w:t>
      </w:r>
    </w:p>
    <w:p>
      <w:pPr>
        <w:spacing w:after="0" w:line="187"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Whether or not you expect to be present at the Annual Meeting, please sign and return the enclosed proxy promptly. Your vote is important. If you are a stockholder of record and attend the Annual Meeting and wish to vote in person, you may withdraw your proxy at any time prior to the vote.</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By Order of the Board of Directors</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CNS PHARMACEUTICALS, INC.</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u w:val="single" w:color="auto"/>
          <w:color w:val="auto"/>
        </w:rPr>
        <w:t>/s/ JOHN CLIMACO</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John Climaco</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Chief Executive Officer</w:t>
      </w:r>
    </w:p>
    <w:p>
      <w:pPr>
        <w:spacing w:after="0" w:line="20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Houston, Texas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October 20, 2025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1" w:name="page42"/>
    <w:bookmarkEnd w:id="41"/>
    <w:p>
      <w:pPr>
        <w:jc w:val="center"/>
        <w:ind w:right="-19"/>
        <w:spacing w:after="0"/>
        <w:rPr>
          <w:sz w:val="20"/>
          <w:szCs w:val="20"/>
          <w:color w:val="auto"/>
        </w:rPr>
      </w:pPr>
      <w:r>
        <w:rPr>
          <w:rFonts w:ascii="Times New Roman" w:cs="Times New Roman" w:eastAsia="Times New Roman" w:hAnsi="Times New Roman"/>
          <w:sz w:val="18"/>
          <w:szCs w:val="18"/>
          <w:color w:val="auto"/>
        </w:rPr>
        <w:t>ANNEX A</w:t>
      </w:r>
    </w:p>
    <w:p>
      <w:pPr>
        <w:spacing w:after="0" w:line="22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CERTIFICATE OF AMENDMENT</w:t>
      </w:r>
    </w:p>
    <w:p>
      <w:pPr>
        <w:spacing w:after="0" w:line="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TO THE AMENDED AND RESTATED ARTICLES OF INCORPORATION OF</w:t>
      </w:r>
    </w:p>
    <w:p>
      <w:pPr>
        <w:spacing w:after="0" w:line="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CNS PHARMACEUTICALS, INC.</w:t>
      </w:r>
    </w:p>
    <w:p>
      <w:pPr>
        <w:spacing w:after="0" w:line="207" w:lineRule="exact"/>
        <w:rPr>
          <w:sz w:val="20"/>
          <w:szCs w:val="20"/>
          <w:color w:val="auto"/>
        </w:rPr>
      </w:pPr>
    </w:p>
    <w:p>
      <w:pPr>
        <w:jc w:val="both"/>
        <w:ind w:right="20" w:firstLine="648"/>
        <w:spacing w:after="0" w:line="266" w:lineRule="auto"/>
        <w:rPr>
          <w:sz w:val="20"/>
          <w:szCs w:val="20"/>
          <w:color w:val="auto"/>
        </w:rPr>
      </w:pPr>
      <w:r>
        <w:rPr>
          <w:rFonts w:ascii="Times New Roman" w:cs="Times New Roman" w:eastAsia="Times New Roman" w:hAnsi="Times New Roman"/>
          <w:sz w:val="18"/>
          <w:szCs w:val="18"/>
          <w:color w:val="auto"/>
        </w:rPr>
        <w:t>CNS Pharmaceuticals, Inc., a corporation organized and existing under the laws of the State of Nevada (the “Company”) for the purpose of amending its Amended and Restated Articles of Incorporation in accordance with Chapter 78 of the Nevada Revised Statutes, does hereby make and execute this Certificate of Amendment to the Amended and Restated Articles of Incorporation, as amended, and does hereby certify that:</w:t>
      </w:r>
    </w:p>
    <w:p>
      <w:pPr>
        <w:spacing w:after="0" w:line="176" w:lineRule="exact"/>
        <w:rPr>
          <w:sz w:val="20"/>
          <w:szCs w:val="20"/>
          <w:color w:val="auto"/>
        </w:rPr>
      </w:pPr>
    </w:p>
    <w:p>
      <w:pPr>
        <w:ind w:firstLine="656"/>
        <w:spacing w:after="0" w:line="282" w:lineRule="auto"/>
        <w:tabs>
          <w:tab w:leader="none" w:pos="833" w:val="left"/>
        </w:tabs>
        <w:numPr>
          <w:ilvl w:val="0"/>
          <w:numId w:val="2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provisions of the present Section 3.1 of the Amended and Restated Articles of Incorporation of the Corporation are amended by amending and restating Section 3.1 as follows:</w:t>
      </w:r>
    </w:p>
    <w:p>
      <w:pPr>
        <w:spacing w:after="0" w:line="162"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The Corporation shall have the authority to issue Three Hundred Million (300,000,000) shares of common stock having a par value of $0.001 per share (the “Common Stock”).</w:t>
      </w:r>
    </w:p>
    <w:p>
      <w:pPr>
        <w:spacing w:after="0" w:line="162" w:lineRule="exact"/>
        <w:rPr>
          <w:sz w:val="20"/>
          <w:szCs w:val="20"/>
          <w:color w:val="auto"/>
        </w:rPr>
      </w:pPr>
    </w:p>
    <w:p>
      <w:pPr>
        <w:ind w:firstLine="656"/>
        <w:spacing w:after="0" w:line="282" w:lineRule="auto"/>
        <w:tabs>
          <w:tab w:leader="none" w:pos="833" w:val="left"/>
        </w:tabs>
        <w:numPr>
          <w:ilvl w:val="0"/>
          <w:numId w:val="2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provisions of the present Section 3.2 of the Amended and Restated Articles of Incorporation of the Corporation are amended by amending and restating the first sentence of Section 3.2, with no changes to be made to the previous or subsequent sentences and provisions of Section 3.2:</w:t>
      </w:r>
    </w:p>
    <w:p>
      <w:pPr>
        <w:spacing w:after="0" w:line="162"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The Corporation shall have the authority to issue Five Million (5,000,000) shares of preferred stock having a par value of $0.001 per share (the “Preferred Stock”).</w:t>
      </w:r>
    </w:p>
    <w:p>
      <w:pPr>
        <w:spacing w:after="0" w:line="162" w:lineRule="exact"/>
        <w:rPr>
          <w:sz w:val="20"/>
          <w:szCs w:val="20"/>
          <w:color w:val="auto"/>
        </w:rPr>
      </w:pPr>
    </w:p>
    <w:p>
      <w:pPr>
        <w:ind w:left="840" w:hanging="184"/>
        <w:spacing w:after="0"/>
        <w:tabs>
          <w:tab w:leader="none" w:pos="840" w:val="left"/>
        </w:tabs>
        <w:numPr>
          <w:ilvl w:val="0"/>
          <w:numId w:val="2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foregoing amendment has been duly adopted in accordance NRS 78.385.</w:t>
      </w:r>
    </w:p>
    <w:p>
      <w:pPr>
        <w:spacing w:after="0" w:line="225" w:lineRule="exact"/>
        <w:rPr>
          <w:rFonts w:ascii="Times New Roman" w:cs="Times New Roman" w:eastAsia="Times New Roman" w:hAnsi="Times New Roman"/>
          <w:sz w:val="18"/>
          <w:szCs w:val="18"/>
          <w:color w:val="auto"/>
        </w:rPr>
      </w:pPr>
    </w:p>
    <w:p>
      <w:pPr>
        <w:ind w:left="840" w:hanging="184"/>
        <w:spacing w:after="0"/>
        <w:tabs>
          <w:tab w:leader="none" w:pos="840" w:val="left"/>
        </w:tabs>
        <w:numPr>
          <w:ilvl w:val="0"/>
          <w:numId w:val="2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This amendment shall be effective as of ____ p.m., Eastern Time, on _____.</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IN WITNESS WHEREOF, I have signed this Certificate this _______ day of ____.</w:t>
      </w:r>
    </w:p>
    <w:p>
      <w:pPr>
        <w:spacing w:after="0" w:line="200" w:lineRule="exact"/>
        <w:rPr>
          <w:sz w:val="20"/>
          <w:szCs w:val="20"/>
          <w:color w:val="auto"/>
        </w:rPr>
      </w:pPr>
    </w:p>
    <w:p>
      <w:pPr>
        <w:spacing w:after="0" w:line="241" w:lineRule="exact"/>
        <w:rPr>
          <w:sz w:val="20"/>
          <w:szCs w:val="20"/>
          <w:color w:val="auto"/>
        </w:rPr>
      </w:pPr>
    </w:p>
    <w:p>
      <w:pPr>
        <w:ind w:left="5180"/>
        <w:spacing w:after="0"/>
        <w:rPr>
          <w:sz w:val="20"/>
          <w:szCs w:val="20"/>
          <w:color w:val="auto"/>
        </w:rPr>
      </w:pPr>
      <w:r>
        <w:rPr>
          <w:rFonts w:ascii="Times New Roman" w:cs="Times New Roman" w:eastAsia="Times New Roman" w:hAnsi="Times New Roman"/>
          <w:sz w:val="18"/>
          <w:szCs w:val="18"/>
          <w:color w:val="auto"/>
        </w:rPr>
        <w:t>CNS Pharmaceuticals, Inc.</w:t>
      </w:r>
    </w:p>
    <w:p>
      <w:pPr>
        <w:spacing w:after="0" w:line="200" w:lineRule="exact"/>
        <w:rPr>
          <w:sz w:val="20"/>
          <w:szCs w:val="20"/>
          <w:color w:val="auto"/>
        </w:rPr>
      </w:pPr>
    </w:p>
    <w:p>
      <w:pPr>
        <w:spacing w:after="0" w:line="241" w:lineRule="exact"/>
        <w:rPr>
          <w:sz w:val="20"/>
          <w:szCs w:val="20"/>
          <w:color w:val="auto"/>
        </w:rPr>
      </w:pPr>
    </w:p>
    <w:p>
      <w:pPr>
        <w:ind w:left="5180"/>
        <w:spacing w:after="0"/>
        <w:rPr>
          <w:sz w:val="20"/>
          <w:szCs w:val="20"/>
          <w:color w:val="auto"/>
        </w:rPr>
      </w:pPr>
      <w:r>
        <w:rPr>
          <w:rFonts w:ascii="Times New Roman" w:cs="Times New Roman" w:eastAsia="Times New Roman" w:hAnsi="Times New Roman"/>
          <w:sz w:val="18"/>
          <w:szCs w:val="18"/>
          <w:color w:val="auto"/>
        </w:rPr>
        <w:t>By: _________________________</w:t>
      </w:r>
    </w:p>
    <w:p>
      <w:pPr>
        <w:spacing w:after="0" w:line="27" w:lineRule="exact"/>
        <w:rPr>
          <w:sz w:val="20"/>
          <w:szCs w:val="20"/>
          <w:color w:val="auto"/>
        </w:rPr>
      </w:pPr>
    </w:p>
    <w:p>
      <w:pPr>
        <w:ind w:left="5500"/>
        <w:spacing w:after="0"/>
        <w:rPr>
          <w:sz w:val="20"/>
          <w:szCs w:val="20"/>
          <w:color w:val="auto"/>
        </w:rPr>
      </w:pPr>
      <w:r>
        <w:rPr>
          <w:rFonts w:ascii="Times New Roman" w:cs="Times New Roman" w:eastAsia="Times New Roman" w:hAnsi="Times New Roman"/>
          <w:sz w:val="18"/>
          <w:szCs w:val="18"/>
          <w:color w:val="auto"/>
        </w:rPr>
        <w:t>Name: John Climaco</w:t>
      </w:r>
    </w:p>
    <w:p>
      <w:pPr>
        <w:spacing w:after="0" w:line="9" w:lineRule="exact"/>
        <w:rPr>
          <w:sz w:val="20"/>
          <w:szCs w:val="20"/>
          <w:color w:val="auto"/>
        </w:rPr>
      </w:pPr>
    </w:p>
    <w:p>
      <w:pPr>
        <w:ind w:left="5500"/>
        <w:spacing w:after="0"/>
        <w:rPr>
          <w:sz w:val="20"/>
          <w:szCs w:val="20"/>
          <w:color w:val="auto"/>
        </w:rPr>
      </w:pPr>
      <w:r>
        <w:rPr>
          <w:rFonts w:ascii="Times New Roman" w:cs="Times New Roman" w:eastAsia="Times New Roman" w:hAnsi="Times New Roman"/>
          <w:sz w:val="18"/>
          <w:szCs w:val="18"/>
          <w:color w:val="auto"/>
        </w:rPr>
        <w:t>Title: Chief Executive Officer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A-1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42" w:name="page43"/>
    <w:bookmarkEnd w:id="42"/>
    <w:p>
      <w:pPr>
        <w:jc w:val="center"/>
        <w:spacing w:after="0"/>
        <w:rPr>
          <w:sz w:val="20"/>
          <w:szCs w:val="20"/>
          <w:color w:val="auto"/>
        </w:rPr>
      </w:pPr>
      <w:r>
        <w:rPr>
          <w:rFonts w:ascii="Times New Roman" w:cs="Times New Roman" w:eastAsia="Times New Roman" w:hAnsi="Times New Roman"/>
          <w:sz w:val="18"/>
          <w:szCs w:val="18"/>
          <w:color w:val="auto"/>
        </w:rPr>
        <w:t>ANNEX B</w:t>
      </w:r>
    </w:p>
    <w:p>
      <w:pPr>
        <w:spacing w:after="0" w:line="22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CNS PHARMACEUTICALS, INC.</w:t>
      </w:r>
    </w:p>
    <w:p>
      <w:pPr>
        <w:spacing w:after="0" w:line="2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2020 EQUITY PLAN</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(Amended and Restated)</w:t>
      </w:r>
    </w:p>
    <w:p>
      <w:pPr>
        <w:spacing w:after="0" w:line="9" w:lineRule="exact"/>
        <w:rPr>
          <w:sz w:val="20"/>
          <w:szCs w:val="20"/>
          <w:color w:val="auto"/>
        </w:rPr>
      </w:pPr>
    </w:p>
    <w:p>
      <w:pPr>
        <w:ind w:left="4640"/>
        <w:spacing w:after="0"/>
        <w:rPr>
          <w:sz w:val="20"/>
          <w:szCs w:val="20"/>
          <w:color w:val="auto"/>
        </w:rPr>
      </w:pPr>
      <w:r>
        <w:rPr>
          <w:rFonts w:ascii="Times New Roman" w:cs="Times New Roman" w:eastAsia="Times New Roman" w:hAnsi="Times New Roman"/>
          <w:sz w:val="18"/>
          <w:szCs w:val="18"/>
          <w:color w:val="auto"/>
        </w:rPr>
        <w:t>______________________</w:t>
      </w:r>
    </w:p>
    <w:p>
      <w:pPr>
        <w:spacing w:after="0" w:line="207"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1.</w:t>
      </w:r>
      <w:r>
        <w:rPr>
          <w:sz w:val="20"/>
          <w:szCs w:val="20"/>
          <w:color w:val="auto"/>
        </w:rPr>
        <w:tab/>
      </w:r>
      <w:r>
        <w:rPr>
          <w:rFonts w:ascii="Times New Roman" w:cs="Times New Roman" w:eastAsia="Times New Roman" w:hAnsi="Times New Roman"/>
          <w:sz w:val="18"/>
          <w:szCs w:val="18"/>
          <w:color w:val="auto"/>
        </w:rPr>
        <w:t>Establishment and Purpose.</w:t>
      </w:r>
    </w:p>
    <w:p>
      <w:pPr>
        <w:spacing w:after="0" w:line="225"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1.1 The Board of Directors of CNS Pharmaceuticals, Inc. (the “Company”) established the CNS Pharmaceuticals, Inc. 2020 Equity Plan (the “Plan”) effective as of April 6, 2020, which was approved by the Company’s stockholders at the Company’s annual meeting on June 8, 2020. The Plan was amended effective as of August 9, 2023, as of March 26, 2024, and on November 17, 2025, subject to approval by the Company’s stockholders at the Company’s annual meeting on November 17, 2025.</w:t>
      </w:r>
    </w:p>
    <w:p>
      <w:pPr>
        <w:spacing w:after="0" w:line="180"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1.2 The purpose of the Plan is to attract and retain outstanding individuals as Key Employees, Directors and Consultants of the Company and its Subsidiaries, to recognize the contributions made to the Company and its Subsidiaries by Key Employees, Directors and Consultants, and to provide such Key Employees, Directors and Consultants with additional incentive to expand and improve the profits and achieve the objectives of the Company and its Subsidiaries, by providing such Key Employees, Directors and Consultants with the opportunity to acquire or increase their proprietary interest in the Company through receipt of Awards.</w:t>
      </w:r>
    </w:p>
    <w:p>
      <w:pPr>
        <w:spacing w:after="0" w:line="183"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2.</w:t>
      </w:r>
      <w:r>
        <w:rPr>
          <w:sz w:val="20"/>
          <w:szCs w:val="20"/>
          <w:color w:val="auto"/>
        </w:rPr>
        <w:tab/>
      </w:r>
      <w:r>
        <w:rPr>
          <w:rFonts w:ascii="Times New Roman" w:cs="Times New Roman" w:eastAsia="Times New Roman" w:hAnsi="Times New Roman"/>
          <w:sz w:val="18"/>
          <w:szCs w:val="18"/>
          <w:color w:val="auto"/>
        </w:rPr>
        <w:t>Definitions.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As used in the Plan, the following terms shall have the meanings set forth below:</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 “</w:t>
      </w:r>
      <w:r>
        <w:rPr>
          <w:rFonts w:ascii="Times New Roman" w:cs="Times New Roman" w:eastAsia="Times New Roman" w:hAnsi="Times New Roman"/>
          <w:sz w:val="18"/>
          <w:szCs w:val="18"/>
          <w:u w:val="single" w:color="auto"/>
          <w:color w:val="auto"/>
        </w:rPr>
        <w:t>Award</w:t>
      </w:r>
      <w:r>
        <w:rPr>
          <w:rFonts w:ascii="Times New Roman" w:cs="Times New Roman" w:eastAsia="Times New Roman" w:hAnsi="Times New Roman"/>
          <w:sz w:val="18"/>
          <w:szCs w:val="18"/>
          <w:color w:val="auto"/>
        </w:rPr>
        <w:t>” means any award or benefit granted under the Plan, which shall be a Stock Option, a Stock Award, a Stock Unit Award or an SAR.</w:t>
      </w:r>
    </w:p>
    <w:p>
      <w:pPr>
        <w:spacing w:after="0" w:line="225"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2.2 “</w:t>
      </w:r>
      <w:r>
        <w:rPr>
          <w:rFonts w:ascii="Times New Roman" w:cs="Times New Roman" w:eastAsia="Times New Roman" w:hAnsi="Times New Roman"/>
          <w:sz w:val="18"/>
          <w:szCs w:val="18"/>
          <w:u w:val="single" w:color="auto"/>
          <w:color w:val="auto"/>
        </w:rPr>
        <w:t>Award Agreement</w:t>
      </w:r>
      <w:r>
        <w:rPr>
          <w:rFonts w:ascii="Times New Roman" w:cs="Times New Roman" w:eastAsia="Times New Roman" w:hAnsi="Times New Roman"/>
          <w:sz w:val="18"/>
          <w:szCs w:val="18"/>
          <w:color w:val="auto"/>
        </w:rPr>
        <w:t>” means, as applicable, a Stock Option Agreement, Stock Award Agreement, Stock Unit Award Agreement or SAR Agreement evidencing an Award granted under the Plan.</w:t>
      </w:r>
    </w:p>
    <w:p>
      <w:pPr>
        <w:spacing w:after="0" w:line="16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2.3 “</w:t>
      </w:r>
      <w:r>
        <w:rPr>
          <w:rFonts w:ascii="Times New Roman" w:cs="Times New Roman" w:eastAsia="Times New Roman" w:hAnsi="Times New Roman"/>
          <w:sz w:val="18"/>
          <w:szCs w:val="18"/>
          <w:u w:val="single" w:color="auto"/>
          <w:color w:val="auto"/>
        </w:rPr>
        <w:t>Board</w:t>
      </w:r>
      <w:r>
        <w:rPr>
          <w:rFonts w:ascii="Times New Roman" w:cs="Times New Roman" w:eastAsia="Times New Roman" w:hAnsi="Times New Roman"/>
          <w:sz w:val="18"/>
          <w:szCs w:val="18"/>
          <w:color w:val="auto"/>
        </w:rPr>
        <w:t>” means the Board of Directors of the Company.</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2.4 “</w:t>
      </w:r>
      <w:r>
        <w:rPr>
          <w:rFonts w:ascii="Times New Roman" w:cs="Times New Roman" w:eastAsia="Times New Roman" w:hAnsi="Times New Roman"/>
          <w:sz w:val="18"/>
          <w:szCs w:val="18"/>
          <w:u w:val="single" w:color="auto"/>
          <w:color w:val="auto"/>
        </w:rPr>
        <w:t>Change in Control</w:t>
      </w:r>
      <w:r>
        <w:rPr>
          <w:rFonts w:ascii="Times New Roman" w:cs="Times New Roman" w:eastAsia="Times New Roman" w:hAnsi="Times New Roman"/>
          <w:sz w:val="18"/>
          <w:szCs w:val="18"/>
          <w:color w:val="auto"/>
        </w:rPr>
        <w:t>” has the meaning set forth in Section 8.2 of the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2.5 “</w:t>
      </w:r>
      <w:r>
        <w:rPr>
          <w:rFonts w:ascii="Times New Roman" w:cs="Times New Roman" w:eastAsia="Times New Roman" w:hAnsi="Times New Roman"/>
          <w:sz w:val="18"/>
          <w:szCs w:val="18"/>
          <w:u w:val="single" w:color="auto"/>
          <w:color w:val="auto"/>
        </w:rPr>
        <w:t>Code</w:t>
      </w:r>
      <w:r>
        <w:rPr>
          <w:rFonts w:ascii="Times New Roman" w:cs="Times New Roman" w:eastAsia="Times New Roman" w:hAnsi="Times New Roman"/>
          <w:sz w:val="18"/>
          <w:szCs w:val="18"/>
          <w:color w:val="auto"/>
        </w:rPr>
        <w:t>” means the Internal Revenue Code of 1986, as amended from time to time.</w:t>
      </w:r>
    </w:p>
    <w:p>
      <w:pPr>
        <w:spacing w:after="0" w:line="225"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2.6 “</w:t>
      </w:r>
      <w:r>
        <w:rPr>
          <w:rFonts w:ascii="Times New Roman" w:cs="Times New Roman" w:eastAsia="Times New Roman" w:hAnsi="Times New Roman"/>
          <w:sz w:val="18"/>
          <w:szCs w:val="18"/>
          <w:u w:val="single" w:color="auto"/>
          <w:color w:val="auto"/>
        </w:rPr>
        <w:t>Committee</w:t>
      </w:r>
      <w:r>
        <w:rPr>
          <w:rFonts w:ascii="Times New Roman" w:cs="Times New Roman" w:eastAsia="Times New Roman" w:hAnsi="Times New Roman"/>
          <w:sz w:val="18"/>
          <w:szCs w:val="18"/>
          <w:color w:val="auto"/>
        </w:rPr>
        <w:t>” means the Compensation Committee of the Board or such other committee as may be designated by the Board from time to time to administer the Plan, or, if no such committee has been designated at the time of any grants, it shall mean the Board.</w:t>
      </w:r>
    </w:p>
    <w:p>
      <w:pPr>
        <w:spacing w:after="0" w:line="16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2.7 “</w:t>
      </w:r>
      <w:r>
        <w:rPr>
          <w:rFonts w:ascii="Times New Roman" w:cs="Times New Roman" w:eastAsia="Times New Roman" w:hAnsi="Times New Roman"/>
          <w:sz w:val="18"/>
          <w:szCs w:val="18"/>
          <w:u w:val="single" w:color="auto"/>
          <w:color w:val="auto"/>
        </w:rPr>
        <w:t>Common Stock</w:t>
      </w:r>
      <w:r>
        <w:rPr>
          <w:rFonts w:ascii="Times New Roman" w:cs="Times New Roman" w:eastAsia="Times New Roman" w:hAnsi="Times New Roman"/>
          <w:sz w:val="18"/>
          <w:szCs w:val="18"/>
          <w:color w:val="auto"/>
        </w:rPr>
        <w:t>” means the Common Stock, par value $0.001 per share, of the Company.</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2.8 “</w:t>
      </w:r>
      <w:r>
        <w:rPr>
          <w:rFonts w:ascii="Times New Roman" w:cs="Times New Roman" w:eastAsia="Times New Roman" w:hAnsi="Times New Roman"/>
          <w:sz w:val="18"/>
          <w:szCs w:val="18"/>
          <w:u w:val="single" w:color="auto"/>
          <w:color w:val="auto"/>
        </w:rPr>
        <w:t>Company”</w:t>
      </w:r>
      <w:r>
        <w:rPr>
          <w:rFonts w:ascii="Times New Roman" w:cs="Times New Roman" w:eastAsia="Times New Roman" w:hAnsi="Times New Roman"/>
          <w:sz w:val="18"/>
          <w:szCs w:val="18"/>
          <w:color w:val="auto"/>
        </w:rPr>
        <w:t xml:space="preserve"> means CNS Pharmaceuticals, Inc., a Nevada corporation.</w:t>
      </w:r>
    </w:p>
    <w:p>
      <w:pPr>
        <w:spacing w:after="0" w:line="225"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2.9 “</w:t>
      </w:r>
      <w:r>
        <w:rPr>
          <w:rFonts w:ascii="Times New Roman" w:cs="Times New Roman" w:eastAsia="Times New Roman" w:hAnsi="Times New Roman"/>
          <w:sz w:val="18"/>
          <w:szCs w:val="18"/>
          <w:u w:val="single" w:color="auto"/>
          <w:color w:val="auto"/>
        </w:rPr>
        <w:t>Consultant</w:t>
      </w:r>
      <w:r>
        <w:rPr>
          <w:rFonts w:ascii="Times New Roman" w:cs="Times New Roman" w:eastAsia="Times New Roman" w:hAnsi="Times New Roman"/>
          <w:sz w:val="18"/>
          <w:szCs w:val="18"/>
          <w:color w:val="auto"/>
        </w:rPr>
        <w:t>” means any person, including an advisor, who is engaged by the Company or an affiliate to render consulting or advisory services and is compensated for such services. However, service solely as a Director, or payment of a fee for such service, will not cause a Director to be considered a “Consultant” for purposes of the Plan. Notwithstanding the foregoing, a person is treated as a Consultant under this Plan only if a Form S-8 Registration Statement under the Securities Act is available to register either the offer or the sale of the Company’s securities to such person.</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43" w:name="page44"/>
    <w:bookmarkEnd w:id="43"/>
    <w:p>
      <w:pPr>
        <w:ind w:left="660"/>
        <w:spacing w:after="0"/>
        <w:rPr>
          <w:sz w:val="20"/>
          <w:szCs w:val="20"/>
          <w:color w:val="auto"/>
        </w:rPr>
      </w:pPr>
      <w:r>
        <w:rPr>
          <w:rFonts w:ascii="Times New Roman" w:cs="Times New Roman" w:eastAsia="Times New Roman" w:hAnsi="Times New Roman"/>
          <w:sz w:val="18"/>
          <w:szCs w:val="18"/>
          <w:color w:val="auto"/>
        </w:rPr>
        <w:t>2.10 “</w:t>
      </w:r>
      <w:r>
        <w:rPr>
          <w:rFonts w:ascii="Times New Roman" w:cs="Times New Roman" w:eastAsia="Times New Roman" w:hAnsi="Times New Roman"/>
          <w:sz w:val="18"/>
          <w:szCs w:val="18"/>
          <w:u w:val="single" w:color="auto"/>
          <w:color w:val="auto"/>
        </w:rPr>
        <w:t>Director</w:t>
      </w:r>
      <w:r>
        <w:rPr>
          <w:rFonts w:ascii="Times New Roman" w:cs="Times New Roman" w:eastAsia="Times New Roman" w:hAnsi="Times New Roman"/>
          <w:sz w:val="18"/>
          <w:szCs w:val="18"/>
          <w:color w:val="auto"/>
        </w:rPr>
        <w:t>” means a director of the Company who is not an employee of the Company or a Subsidiary.</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2.11 “</w:t>
      </w:r>
      <w:r>
        <w:rPr>
          <w:rFonts w:ascii="Times New Roman" w:cs="Times New Roman" w:eastAsia="Times New Roman" w:hAnsi="Times New Roman"/>
          <w:sz w:val="18"/>
          <w:szCs w:val="18"/>
          <w:u w:val="single" w:color="auto"/>
          <w:color w:val="auto"/>
        </w:rPr>
        <w:t>Exchange Act</w:t>
      </w:r>
      <w:r>
        <w:rPr>
          <w:rFonts w:ascii="Times New Roman" w:cs="Times New Roman" w:eastAsia="Times New Roman" w:hAnsi="Times New Roman"/>
          <w:sz w:val="18"/>
          <w:szCs w:val="18"/>
          <w:color w:val="auto"/>
        </w:rPr>
        <w:t>” means the Securities Exchange Act of 1934, as amended from time to time.</w:t>
      </w:r>
    </w:p>
    <w:p>
      <w:pPr>
        <w:spacing w:after="0" w:line="225"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2.12 “</w:t>
      </w:r>
      <w:r>
        <w:rPr>
          <w:rFonts w:ascii="Times New Roman" w:cs="Times New Roman" w:eastAsia="Times New Roman" w:hAnsi="Times New Roman"/>
          <w:sz w:val="18"/>
          <w:szCs w:val="18"/>
          <w:u w:val="single" w:color="auto"/>
          <w:color w:val="auto"/>
        </w:rPr>
        <w:t>Fair Market Value</w:t>
      </w:r>
      <w:r>
        <w:rPr>
          <w:rFonts w:ascii="Times New Roman" w:cs="Times New Roman" w:eastAsia="Times New Roman" w:hAnsi="Times New Roman"/>
          <w:sz w:val="18"/>
          <w:szCs w:val="18"/>
          <w:color w:val="auto"/>
        </w:rPr>
        <w:t>” means as of any date, the closing price of a share of Common Stock on the national securities exchange on which the Common Stock is listed, or, if the Common Stock is not listed on a national securities exchange, the over-the-counter market on which the Common Stock trades, or, if the Common Stock is not listed on a national securities exchange or an over-the-counter market, as determined by the Board as of such date, or, if no trading occurred on such date, as of the trading day immediately preceding such date.</w:t>
      </w:r>
    </w:p>
    <w:p>
      <w:pPr>
        <w:spacing w:after="0" w:line="180" w:lineRule="exact"/>
        <w:rPr>
          <w:sz w:val="20"/>
          <w:szCs w:val="20"/>
          <w:color w:val="auto"/>
        </w:rPr>
      </w:pPr>
    </w:p>
    <w:p>
      <w:pPr>
        <w:jc w:val="both"/>
        <w:ind w:right="20" w:firstLine="648"/>
        <w:spacing w:after="0" w:line="282" w:lineRule="auto"/>
        <w:rPr>
          <w:sz w:val="20"/>
          <w:szCs w:val="20"/>
          <w:color w:val="auto"/>
        </w:rPr>
      </w:pPr>
      <w:r>
        <w:rPr>
          <w:rFonts w:ascii="Times New Roman" w:cs="Times New Roman" w:eastAsia="Times New Roman" w:hAnsi="Times New Roman"/>
          <w:sz w:val="18"/>
          <w:szCs w:val="18"/>
          <w:color w:val="auto"/>
        </w:rPr>
        <w:t>2.13 “</w:t>
      </w:r>
      <w:r>
        <w:rPr>
          <w:rFonts w:ascii="Times New Roman" w:cs="Times New Roman" w:eastAsia="Times New Roman" w:hAnsi="Times New Roman"/>
          <w:sz w:val="18"/>
          <w:szCs w:val="18"/>
          <w:u w:val="single" w:color="auto"/>
          <w:color w:val="auto"/>
        </w:rPr>
        <w:t>Incentive Stock Option</w:t>
      </w:r>
      <w:r>
        <w:rPr>
          <w:rFonts w:ascii="Times New Roman" w:cs="Times New Roman" w:eastAsia="Times New Roman" w:hAnsi="Times New Roman"/>
          <w:sz w:val="18"/>
          <w:szCs w:val="18"/>
          <w:color w:val="auto"/>
        </w:rPr>
        <w:t>” or “</w:t>
      </w:r>
      <w:r>
        <w:rPr>
          <w:rFonts w:ascii="Times New Roman" w:cs="Times New Roman" w:eastAsia="Times New Roman" w:hAnsi="Times New Roman"/>
          <w:sz w:val="18"/>
          <w:szCs w:val="18"/>
          <w:u w:val="single" w:color="auto"/>
          <w:color w:val="auto"/>
        </w:rPr>
        <w:t>ISO</w:t>
      </w:r>
      <w:r>
        <w:rPr>
          <w:rFonts w:ascii="Times New Roman" w:cs="Times New Roman" w:eastAsia="Times New Roman" w:hAnsi="Times New Roman"/>
          <w:sz w:val="18"/>
          <w:szCs w:val="18"/>
          <w:color w:val="auto"/>
        </w:rPr>
        <w:t>” means a Stock Option granted under Section 5 of the Plan that meets the requirements of Section 422(b) of the Code or any successor provision.</w:t>
      </w:r>
    </w:p>
    <w:p>
      <w:pPr>
        <w:spacing w:after="0" w:line="162"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2.14 “</w:t>
      </w:r>
      <w:r>
        <w:rPr>
          <w:rFonts w:ascii="Times New Roman" w:cs="Times New Roman" w:eastAsia="Times New Roman" w:hAnsi="Times New Roman"/>
          <w:sz w:val="18"/>
          <w:szCs w:val="18"/>
          <w:u w:val="single" w:color="auto"/>
          <w:color w:val="auto"/>
        </w:rPr>
        <w:t>Key Employee</w:t>
      </w:r>
      <w:r>
        <w:rPr>
          <w:rFonts w:ascii="Times New Roman" w:cs="Times New Roman" w:eastAsia="Times New Roman" w:hAnsi="Times New Roman"/>
          <w:sz w:val="18"/>
          <w:szCs w:val="18"/>
          <w:color w:val="auto"/>
        </w:rPr>
        <w:t>” means an employee of the Company or any Subsidiary selected to participate in the Plan in accordance with Section 3. A Key Employee may also include a person who is granted an Award (other than an Incentive Stock Option) in connection with the hiring of the person prior to the date the person becomes an employee of the Company or any Subsidiary, provided that such Award shall not vest prior to the commencement of employment.</w:t>
      </w:r>
    </w:p>
    <w:p>
      <w:pPr>
        <w:spacing w:after="0" w:line="180"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2.15 “</w:t>
      </w:r>
      <w:r>
        <w:rPr>
          <w:rFonts w:ascii="Times New Roman" w:cs="Times New Roman" w:eastAsia="Times New Roman" w:hAnsi="Times New Roman"/>
          <w:sz w:val="18"/>
          <w:szCs w:val="18"/>
          <w:u w:val="single" w:color="auto"/>
          <w:color w:val="auto"/>
        </w:rPr>
        <w:t>Non-Qualified Stock Option</w:t>
      </w:r>
      <w:r>
        <w:rPr>
          <w:rFonts w:ascii="Times New Roman" w:cs="Times New Roman" w:eastAsia="Times New Roman" w:hAnsi="Times New Roman"/>
          <w:sz w:val="18"/>
          <w:szCs w:val="18"/>
          <w:color w:val="auto"/>
        </w:rPr>
        <w:t>” or “</w:t>
      </w:r>
      <w:r>
        <w:rPr>
          <w:rFonts w:ascii="Times New Roman" w:cs="Times New Roman" w:eastAsia="Times New Roman" w:hAnsi="Times New Roman"/>
          <w:sz w:val="18"/>
          <w:szCs w:val="18"/>
          <w:u w:val="single" w:color="auto"/>
          <w:color w:val="auto"/>
        </w:rPr>
        <w:t>NSO</w:t>
      </w:r>
      <w:r>
        <w:rPr>
          <w:rFonts w:ascii="Times New Roman" w:cs="Times New Roman" w:eastAsia="Times New Roman" w:hAnsi="Times New Roman"/>
          <w:sz w:val="18"/>
          <w:szCs w:val="18"/>
          <w:color w:val="auto"/>
        </w:rPr>
        <w:t>” means a Stock Option granted under Section 5 of the Plan that is not an Incentive Stock Option.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2.16 “</w:t>
      </w:r>
      <w:r>
        <w:rPr>
          <w:rFonts w:ascii="Times New Roman" w:cs="Times New Roman" w:eastAsia="Times New Roman" w:hAnsi="Times New Roman"/>
          <w:sz w:val="18"/>
          <w:szCs w:val="18"/>
          <w:u w:val="single" w:color="auto"/>
          <w:color w:val="auto"/>
        </w:rPr>
        <w:t>Participant</w:t>
      </w:r>
      <w:r>
        <w:rPr>
          <w:rFonts w:ascii="Times New Roman" w:cs="Times New Roman" w:eastAsia="Times New Roman" w:hAnsi="Times New Roman"/>
          <w:sz w:val="18"/>
          <w:szCs w:val="18"/>
          <w:color w:val="auto"/>
        </w:rPr>
        <w:t>” means a Key Employee, Director or Consultant selected to receive an Award under the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2.17 “</w:t>
      </w:r>
      <w:r>
        <w:rPr>
          <w:rFonts w:ascii="Times New Roman" w:cs="Times New Roman" w:eastAsia="Times New Roman" w:hAnsi="Times New Roman"/>
          <w:sz w:val="18"/>
          <w:szCs w:val="18"/>
          <w:u w:val="single" w:color="auto"/>
          <w:color w:val="auto"/>
        </w:rPr>
        <w:t>Plan</w:t>
      </w:r>
      <w:r>
        <w:rPr>
          <w:rFonts w:ascii="Times New Roman" w:cs="Times New Roman" w:eastAsia="Times New Roman" w:hAnsi="Times New Roman"/>
          <w:sz w:val="18"/>
          <w:szCs w:val="18"/>
          <w:color w:val="auto"/>
        </w:rPr>
        <w:t>” means the CNS Pharmaceuticals, Inc. 2020 Equity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2.18 “</w:t>
      </w:r>
      <w:r>
        <w:rPr>
          <w:rFonts w:ascii="Times New Roman" w:cs="Times New Roman" w:eastAsia="Times New Roman" w:hAnsi="Times New Roman"/>
          <w:sz w:val="18"/>
          <w:szCs w:val="18"/>
          <w:u w:val="single" w:color="auto"/>
          <w:color w:val="auto"/>
        </w:rPr>
        <w:t>Stock Appreciation Right</w:t>
      </w:r>
      <w:r>
        <w:rPr>
          <w:rFonts w:ascii="Times New Roman" w:cs="Times New Roman" w:eastAsia="Times New Roman" w:hAnsi="Times New Roman"/>
          <w:sz w:val="18"/>
          <w:szCs w:val="18"/>
          <w:color w:val="auto"/>
        </w:rPr>
        <w:t>” or “</w:t>
      </w:r>
      <w:r>
        <w:rPr>
          <w:rFonts w:ascii="Times New Roman" w:cs="Times New Roman" w:eastAsia="Times New Roman" w:hAnsi="Times New Roman"/>
          <w:sz w:val="18"/>
          <w:szCs w:val="18"/>
          <w:u w:val="single" w:color="auto"/>
          <w:color w:val="auto"/>
        </w:rPr>
        <w:t>SAR</w:t>
      </w:r>
      <w:r>
        <w:rPr>
          <w:rFonts w:ascii="Times New Roman" w:cs="Times New Roman" w:eastAsia="Times New Roman" w:hAnsi="Times New Roman"/>
          <w:sz w:val="18"/>
          <w:szCs w:val="18"/>
          <w:color w:val="auto"/>
        </w:rPr>
        <w:t>” means a grant of a right to receive shares of Common Stock or cash under Section 8 of the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2.19 “</w:t>
      </w:r>
      <w:r>
        <w:rPr>
          <w:rFonts w:ascii="Times New Roman" w:cs="Times New Roman" w:eastAsia="Times New Roman" w:hAnsi="Times New Roman"/>
          <w:sz w:val="18"/>
          <w:szCs w:val="18"/>
          <w:u w:val="single" w:color="auto"/>
          <w:color w:val="auto"/>
        </w:rPr>
        <w:t>Stock Award</w:t>
      </w:r>
      <w:r>
        <w:rPr>
          <w:rFonts w:ascii="Times New Roman" w:cs="Times New Roman" w:eastAsia="Times New Roman" w:hAnsi="Times New Roman"/>
          <w:sz w:val="18"/>
          <w:szCs w:val="18"/>
          <w:color w:val="auto"/>
        </w:rPr>
        <w:t>” means a grant of shares of Common Stock under Section 6 of the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2.20 “</w:t>
      </w:r>
      <w:r>
        <w:rPr>
          <w:rFonts w:ascii="Times New Roman" w:cs="Times New Roman" w:eastAsia="Times New Roman" w:hAnsi="Times New Roman"/>
          <w:sz w:val="18"/>
          <w:szCs w:val="18"/>
          <w:u w:val="single" w:color="auto"/>
          <w:color w:val="auto"/>
        </w:rPr>
        <w:t>Stock Option</w:t>
      </w:r>
      <w:r>
        <w:rPr>
          <w:rFonts w:ascii="Times New Roman" w:cs="Times New Roman" w:eastAsia="Times New Roman" w:hAnsi="Times New Roman"/>
          <w:sz w:val="18"/>
          <w:szCs w:val="18"/>
          <w:color w:val="auto"/>
        </w:rPr>
        <w:t>” means an Incentive Stock Option or a Non-Qualified Stock Option granted under Section 5 of the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2.21 “</w:t>
      </w:r>
      <w:r>
        <w:rPr>
          <w:rFonts w:ascii="Times New Roman" w:cs="Times New Roman" w:eastAsia="Times New Roman" w:hAnsi="Times New Roman"/>
          <w:sz w:val="18"/>
          <w:szCs w:val="18"/>
          <w:u w:val="single" w:color="auto"/>
          <w:color w:val="auto"/>
        </w:rPr>
        <w:t>Stock Unit Award</w:t>
      </w:r>
      <w:r>
        <w:rPr>
          <w:rFonts w:ascii="Times New Roman" w:cs="Times New Roman" w:eastAsia="Times New Roman" w:hAnsi="Times New Roman"/>
          <w:sz w:val="18"/>
          <w:szCs w:val="18"/>
          <w:color w:val="auto"/>
        </w:rPr>
        <w:t>” means a grant of a right to receive shares of Common Stock or cash under Section 7 of the Plan.</w:t>
      </w:r>
    </w:p>
    <w:p>
      <w:pPr>
        <w:spacing w:after="0" w:line="225"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2.22 “</w:t>
      </w:r>
      <w:r>
        <w:rPr>
          <w:rFonts w:ascii="Times New Roman" w:cs="Times New Roman" w:eastAsia="Times New Roman" w:hAnsi="Times New Roman"/>
          <w:sz w:val="18"/>
          <w:szCs w:val="18"/>
          <w:u w:val="single" w:color="auto"/>
          <w:color w:val="auto"/>
        </w:rPr>
        <w:t>Subsidiary</w:t>
      </w:r>
      <w:r>
        <w:rPr>
          <w:rFonts w:ascii="Times New Roman" w:cs="Times New Roman" w:eastAsia="Times New Roman" w:hAnsi="Times New Roman"/>
          <w:sz w:val="18"/>
          <w:szCs w:val="18"/>
          <w:color w:val="auto"/>
        </w:rPr>
        <w:t>” means an entity of which the Company is the direct or indirect beneficial owner of not less than 50% of all issued and outstanding equity interest of such entity.</w:t>
      </w:r>
    </w:p>
    <w:p>
      <w:pPr>
        <w:spacing w:after="0" w:line="162"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3.</w:t>
      </w:r>
      <w:r>
        <w:rPr>
          <w:sz w:val="20"/>
          <w:szCs w:val="20"/>
          <w:color w:val="auto"/>
        </w:rPr>
        <w:tab/>
      </w:r>
      <w:r>
        <w:rPr>
          <w:rFonts w:ascii="Times New Roman" w:cs="Times New Roman" w:eastAsia="Times New Roman" w:hAnsi="Times New Roman"/>
          <w:sz w:val="18"/>
          <w:szCs w:val="18"/>
          <w:color w:val="auto"/>
        </w:rPr>
        <w:t>Administration.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3.1 </w:t>
      </w:r>
      <w:r>
        <w:rPr>
          <w:rFonts w:ascii="Times New Roman" w:cs="Times New Roman" w:eastAsia="Times New Roman" w:hAnsi="Times New Roman"/>
          <w:sz w:val="18"/>
          <w:szCs w:val="18"/>
          <w:u w:val="single" w:color="auto"/>
          <w:color w:val="auto"/>
        </w:rPr>
        <w:t>The Committee</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The Plan shall be administered by the Committee, which shall be comprised of at least two members of the Board who satisfy the “non-employee director” definition set forth in Rule 16b-3 under the Exchange Act, unless the Board otherwise determines.</w:t>
      </w:r>
    </w:p>
    <w:p>
      <w:pPr>
        <w:spacing w:after="0" w:line="16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3.2 </w:t>
      </w:r>
      <w:r>
        <w:rPr>
          <w:rFonts w:ascii="Times New Roman" w:cs="Times New Roman" w:eastAsia="Times New Roman" w:hAnsi="Times New Roman"/>
          <w:sz w:val="18"/>
          <w:szCs w:val="18"/>
          <w:u w:val="single" w:color="auto"/>
          <w:color w:val="auto"/>
        </w:rPr>
        <w:t>Authority of the Committee</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660" w:firstLine="644"/>
        <w:spacing w:after="0" w:line="261" w:lineRule="auto"/>
        <w:tabs>
          <w:tab w:leader="none" w:pos="1559" w:val="left"/>
        </w:tabs>
        <w:numPr>
          <w:ilvl w:val="0"/>
          <w:numId w:val="2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Committee, in its sole discretion, shall determine the Key Employees, Consultants and Directors to whom, and the time or times at which Awards will be granted, the form and amount of each Award, the expiration date of each Award, the time or times within which the Awards may be exercised, the cancellation of the Awards and the other limitations, restrictions, terms and conditions applicable to the grant of the Awards. The terms and conditions of the Awards need not be the same with respect to each Participant or with respect to each Award.</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44" w:name="page45"/>
    <w:bookmarkEnd w:id="44"/>
    <w:p>
      <w:pPr>
        <w:jc w:val="both"/>
        <w:ind w:left="660" w:firstLine="644"/>
        <w:spacing w:after="0" w:line="261" w:lineRule="auto"/>
        <w:tabs>
          <w:tab w:leader="none" w:pos="1571" w:val="left"/>
        </w:tabs>
        <w:numPr>
          <w:ilvl w:val="0"/>
          <w:numId w:val="2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the extent permitted by applicable law, regulation, and rules of a stock exchange on which the Common Stock is listed or traded, the Committee may delegate its authority to grant Awards to Key Employees and to determine the terms and conditions thereof to such officer of the Company as it may determine in its discretion, on such terms and conditions as it may impose, except with respect to Awards to officers subject to Section 16 of the Exchange Act.</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59" w:val="left"/>
        </w:tabs>
        <w:numPr>
          <w:ilvl w:val="0"/>
          <w:numId w:val="2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Committee may, subject to the provisions of the Plan, establish such rules and regulations as it deems necessary or advisable for the proper administration of the Plan, and may make determinations and may take such other action in connection with or in relation to the Plan as it deems necessary or advisable. Each determination or other action made or taken pursuant to the Plan, including interpretation of the Plan and the specific terms and conditions of the Awards granted hereunder, shall be final and conclusive for all purposes and upon all persons.</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63" w:val="left"/>
        </w:tabs>
        <w:numPr>
          <w:ilvl w:val="0"/>
          <w:numId w:val="2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member of the Board or the Committee shall be liable for any action taken or determination made hereunder in good faith. Service on the Committee shall constitute service as a Director so that the members of the Committee shall be entitled to indemnification and reimbursement as Directors of the Company pursuant to the Company’s Amended and Restated Articles of Incorporation and Amended and Restated Bylaws.</w:t>
      </w:r>
    </w:p>
    <w:p>
      <w:pPr>
        <w:spacing w:after="0" w:line="180"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3.3 </w:t>
      </w:r>
      <w:r>
        <w:rPr>
          <w:rFonts w:ascii="Times New Roman" w:cs="Times New Roman" w:eastAsia="Times New Roman" w:hAnsi="Times New Roman"/>
          <w:sz w:val="18"/>
          <w:szCs w:val="18"/>
          <w:u w:val="single" w:color="auto"/>
          <w:color w:val="auto"/>
        </w:rPr>
        <w:t>Award Agreements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660" w:firstLine="644"/>
        <w:spacing w:after="0" w:line="254" w:lineRule="auto"/>
        <w:tabs>
          <w:tab w:leader="none" w:pos="1588" w:val="left"/>
        </w:tabs>
        <w:numPr>
          <w:ilvl w:val="0"/>
          <w:numId w:val="2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Award shall be evidenced by a written Award Agreement specifying the terms and conditions of the Award. In the sole discretion of the Committee, the Award Agreement may condition the grant of an Award upon the Participant’s entering into one or more of the following agreements with the Company: (i) an agreement not to compete with the Company and its Subsidiaries which shall become effective as of the date of the grant of the Award and remain in effect for a specified period of time following termination of the Participant’s employment with the Company; (ii) an agreement to cancel any employment agreement, fringe benefit or compensation arrangement in effect between the Company and the Participant; and (iii) an agreement to retain the confidentiality of certain information. Such agreements may contain such other terms and conditions as the Committee shall determine. If the Participant shall fail to enter into any such agreement at the request of the Committee, then the Award granted or to be granted to such Participant shall be forfeited and cancelled.</w:t>
      </w:r>
    </w:p>
    <w:p>
      <w:pPr>
        <w:spacing w:after="0" w:line="192"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4.</w:t>
      </w:r>
      <w:r>
        <w:rPr>
          <w:sz w:val="20"/>
          <w:szCs w:val="20"/>
          <w:color w:val="auto"/>
        </w:rPr>
        <w:tab/>
      </w:r>
      <w:r>
        <w:rPr>
          <w:rFonts w:ascii="Times New Roman" w:cs="Times New Roman" w:eastAsia="Times New Roman" w:hAnsi="Times New Roman"/>
          <w:sz w:val="17"/>
          <w:szCs w:val="17"/>
          <w:color w:val="auto"/>
        </w:rPr>
        <w:t>Shares of Common Stock Subject to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4.1 </w:t>
      </w:r>
      <w:r>
        <w:rPr>
          <w:rFonts w:ascii="Times New Roman" w:cs="Times New Roman" w:eastAsia="Times New Roman" w:hAnsi="Times New Roman"/>
          <w:sz w:val="18"/>
          <w:szCs w:val="18"/>
          <w:u w:val="single" w:color="auto"/>
          <w:color w:val="auto"/>
        </w:rPr>
        <w:t>Total Number of Shares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660" w:firstLine="644"/>
        <w:spacing w:after="0" w:line="266" w:lineRule="auto"/>
        <w:tabs>
          <w:tab w:leader="none" w:pos="1575" w:val="left"/>
        </w:tabs>
        <w:numPr>
          <w:ilvl w:val="0"/>
          <w:numId w:val="2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total number of shares of Common Stock that may be issued under the Plan shall be 115,061 (which reflects the 145 shares previously authorized under the Plan and 114,916 shares to be issued under the Plan pursuant to this amendment and restatement). Such shares may be either authorized but unissued shares or treasury shares, and shall be adjusted in accordance with the provisions of Section 4.3 of the Plan.</w:t>
      </w:r>
    </w:p>
    <w:p>
      <w:pPr>
        <w:spacing w:after="0" w:line="175" w:lineRule="exact"/>
        <w:rPr>
          <w:rFonts w:ascii="Times New Roman" w:cs="Times New Roman" w:eastAsia="Times New Roman" w:hAnsi="Times New Roman"/>
          <w:sz w:val="18"/>
          <w:szCs w:val="18"/>
          <w:color w:val="auto"/>
        </w:rPr>
      </w:pPr>
    </w:p>
    <w:p>
      <w:pPr>
        <w:jc w:val="both"/>
        <w:ind w:left="660" w:firstLine="644"/>
        <w:spacing w:after="0" w:line="256" w:lineRule="auto"/>
        <w:tabs>
          <w:tab w:leader="none" w:pos="1569" w:val="left"/>
        </w:tabs>
        <w:numPr>
          <w:ilvl w:val="0"/>
          <w:numId w:val="2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number of shares of Common Stock delivered by a Participant or withheld by the Company on behalf of any such Participant as full or partial payment of an Award, including the exercise price of a Stock Option or of any required withholding taxes, shall not again be available for issuance pursuant to subsequent Awards, and shall count towards the aggregate number of shares of Common Stock that may be issued under the Plan. Any shares of Common Stock purchased by the Company with proceeds from a Stock Option exercise shall not again be available for issuance pursuant to subsequent Awards, shall count against the aggregate number of shares that may be issued under the Plan and shall not increase the number of shares available under the Plan.</w:t>
      </w:r>
    </w:p>
    <w:p>
      <w:pPr>
        <w:spacing w:after="0" w:line="187" w:lineRule="exact"/>
        <w:rPr>
          <w:rFonts w:ascii="Times New Roman" w:cs="Times New Roman" w:eastAsia="Times New Roman" w:hAnsi="Times New Roman"/>
          <w:sz w:val="18"/>
          <w:szCs w:val="18"/>
          <w:color w:val="auto"/>
        </w:rPr>
      </w:pPr>
    </w:p>
    <w:p>
      <w:pPr>
        <w:jc w:val="both"/>
        <w:ind w:left="660" w:firstLine="644"/>
        <w:spacing w:after="0" w:line="258" w:lineRule="auto"/>
        <w:tabs>
          <w:tab w:leader="none" w:pos="1562" w:val="left"/>
        </w:tabs>
        <w:numPr>
          <w:ilvl w:val="0"/>
          <w:numId w:val="2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If there is a lapse, forfeiture, expiration, termination or cancellation of any Award for any reason (including for reasons described in Section 3.3), or if shares of Common Stock are issued under such Award and thereafter are reacquired by the Company pursuant to rights reserved by the Company upon issuance thereof, the shares of Common Stock subject to such Award or reacquired by the Company shall again be available for issuance pursuant to subsequent Awards, and shall not count towards the aggregate number of shares of Common Stock that may be issued under the Plan.</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45" w:name="page46"/>
    <w:bookmarkEnd w:id="45"/>
    <w:p>
      <w:pPr>
        <w:ind w:left="660"/>
        <w:spacing w:after="0"/>
        <w:rPr>
          <w:sz w:val="20"/>
          <w:szCs w:val="20"/>
          <w:color w:val="auto"/>
        </w:rPr>
      </w:pPr>
      <w:r>
        <w:rPr>
          <w:rFonts w:ascii="Times New Roman" w:cs="Times New Roman" w:eastAsia="Times New Roman" w:hAnsi="Times New Roman"/>
          <w:sz w:val="18"/>
          <w:szCs w:val="18"/>
          <w:color w:val="auto"/>
        </w:rPr>
        <w:t xml:space="preserve">4.2 </w:t>
      </w:r>
      <w:r>
        <w:rPr>
          <w:rFonts w:ascii="Times New Roman" w:cs="Times New Roman" w:eastAsia="Times New Roman" w:hAnsi="Times New Roman"/>
          <w:sz w:val="18"/>
          <w:szCs w:val="18"/>
          <w:u w:val="single" w:color="auto"/>
          <w:color w:val="auto"/>
        </w:rPr>
        <w:t>Shares Under Awards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Of the shares of Common Stock authorized for issuance under the Plan pursuant to Section 4.1:</w:t>
      </w:r>
    </w:p>
    <w:p>
      <w:pPr>
        <w:spacing w:after="0" w:line="225" w:lineRule="exact"/>
        <w:rPr>
          <w:sz w:val="20"/>
          <w:szCs w:val="20"/>
          <w:color w:val="auto"/>
        </w:rPr>
      </w:pPr>
    </w:p>
    <w:p>
      <w:pPr>
        <w:jc w:val="both"/>
        <w:ind w:left="660" w:firstLine="644"/>
        <w:spacing w:after="0" w:line="261" w:lineRule="auto"/>
        <w:tabs>
          <w:tab w:leader="none" w:pos="1556" w:val="left"/>
        </w:tabs>
        <w:numPr>
          <w:ilvl w:val="0"/>
          <w:numId w:val="2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maximum number of shares of Common Stock as to which a Key Employee may receive Stock Options or SARs in any calendar year will not exceed $1,500,000 in total value (calculating the value of any such Stock Options or SARs based on the grant date fair value of such Stock Options or SARs for financial reporting purposes). For the avoidance of doubt, shares of Common Stock that may be used for Stock Awards and/or Stock Unit Awards pursuant to Section 4.2(c) shall not be included in the foregoing calculation.</w:t>
      </w:r>
    </w:p>
    <w:p>
      <w:pPr>
        <w:spacing w:after="0" w:line="179" w:lineRule="exact"/>
        <w:rPr>
          <w:rFonts w:ascii="Times New Roman" w:cs="Times New Roman" w:eastAsia="Times New Roman" w:hAnsi="Times New Roman"/>
          <w:sz w:val="18"/>
          <w:szCs w:val="18"/>
          <w:color w:val="auto"/>
        </w:rPr>
      </w:pPr>
    </w:p>
    <w:p>
      <w:pPr>
        <w:ind w:left="660" w:firstLine="644"/>
        <w:spacing w:after="0" w:line="282" w:lineRule="auto"/>
        <w:tabs>
          <w:tab w:leader="none" w:pos="1571" w:val="left"/>
        </w:tabs>
        <w:numPr>
          <w:ilvl w:val="0"/>
          <w:numId w:val="2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maximum number of shares of Common Stock that may be subject to Stock Options (ISOs and/or NSOs) is the total number of shares set forth in Section 4.1(a).</w:t>
      </w:r>
    </w:p>
    <w:p>
      <w:pPr>
        <w:spacing w:after="0" w:line="161" w:lineRule="exact"/>
        <w:rPr>
          <w:rFonts w:ascii="Times New Roman" w:cs="Times New Roman" w:eastAsia="Times New Roman" w:hAnsi="Times New Roman"/>
          <w:sz w:val="18"/>
          <w:szCs w:val="18"/>
          <w:color w:val="auto"/>
        </w:rPr>
      </w:pPr>
    </w:p>
    <w:p>
      <w:pPr>
        <w:jc w:val="both"/>
        <w:ind w:left="660" w:firstLine="644"/>
        <w:spacing w:after="0" w:line="258" w:lineRule="auto"/>
        <w:tabs>
          <w:tab w:leader="none" w:pos="1554" w:val="left"/>
        </w:tabs>
        <w:numPr>
          <w:ilvl w:val="0"/>
          <w:numId w:val="2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maximum number of shares of Common Stock that may be used for Stock Awards and/or Stock Unit Awards that may be granted to any Key Employee in any calendar year will not exceed $1,500,000 in total value (calculating the value of any such Stock Awards and/or Stock Unit Awards based on the grant date fair value of such Stock Awards and/or Stock Unit Awards for financial reporting purposes). For the avoidance of doubt, shares of Common Stock that may be used for Stock Options and/or SARs pursuant to Section 4.2(a) shall not be included in the foregoing calculation.</w:t>
      </w:r>
    </w:p>
    <w:p>
      <w:pPr>
        <w:spacing w:after="0" w:line="183"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75" w:val="left"/>
        </w:tabs>
        <w:numPr>
          <w:ilvl w:val="0"/>
          <w:numId w:val="2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maximum number of shares of Common Stock subject to Awards granted under the Plan or otherwise during any one calendar year to any Director, taken together with any cash fees paid by the Company to such Director during such calendar year for service on the Board, will not exceed $300,000 in total value (calculating the value of any such Awards based on the grant date fair value of such Awards for financial reporting purposes).</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numbers of shares described herein shall be as adjusted in accordance with Section 4.3 of the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4.3 </w:t>
      </w:r>
      <w:r>
        <w:rPr>
          <w:rFonts w:ascii="Times New Roman" w:cs="Times New Roman" w:eastAsia="Times New Roman" w:hAnsi="Times New Roman"/>
          <w:sz w:val="18"/>
          <w:szCs w:val="18"/>
          <w:u w:val="single" w:color="auto"/>
          <w:color w:val="auto"/>
        </w:rPr>
        <w:t>Adjustment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55" w:lineRule="auto"/>
        <w:rPr>
          <w:sz w:val="20"/>
          <w:szCs w:val="20"/>
          <w:color w:val="auto"/>
        </w:rPr>
      </w:pPr>
      <w:r>
        <w:rPr>
          <w:rFonts w:ascii="Times New Roman" w:cs="Times New Roman" w:eastAsia="Times New Roman" w:hAnsi="Times New Roman"/>
          <w:sz w:val="18"/>
          <w:szCs w:val="18"/>
          <w:color w:val="auto"/>
        </w:rPr>
        <w:t>In the event of any reorganization, recapitalization, stock split, stock distribution, merger, consolidation, split-up, spin-off, combination, subdivision, consolidation or exchange of shares, any change in the capital structure of the Company or any similar corporate transaction, the Committee shall make such adjustments as it deems appropriate, in its sole discretion, to preserve the benefits or intended benefits of the Plan and Awards granted under the Plan. Such adjustments may include: (a) adjustment in the number and kind of shares reserved for issuance under the Plan; (b) adjustment in the number and kind of shares covered by outstanding Awards; (c) adjustment in the exercise price of outstanding Stock Options or SARs or the price of Stock Awards or Stock Unit Awards under the Plan; (d) adjustments to any of the shares limitations set forth in Section 4.1 or 4.2 of the Plan; and (e) any other changes that the Committee determines to be equitable under the circumstances.</w:t>
      </w:r>
    </w:p>
    <w:p>
      <w:pPr>
        <w:spacing w:after="0" w:line="189"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5.</w:t>
      </w:r>
      <w:r>
        <w:rPr>
          <w:sz w:val="20"/>
          <w:szCs w:val="20"/>
          <w:color w:val="auto"/>
        </w:rPr>
        <w:tab/>
      </w:r>
      <w:r>
        <w:rPr>
          <w:rFonts w:ascii="Times New Roman" w:cs="Times New Roman" w:eastAsia="Times New Roman" w:hAnsi="Times New Roman"/>
          <w:sz w:val="18"/>
          <w:szCs w:val="18"/>
          <w:color w:val="auto"/>
        </w:rPr>
        <w:t>Grants of Stock Options.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5.1 </w:t>
      </w:r>
      <w:r>
        <w:rPr>
          <w:rFonts w:ascii="Times New Roman" w:cs="Times New Roman" w:eastAsia="Times New Roman" w:hAnsi="Times New Roman"/>
          <w:sz w:val="18"/>
          <w:szCs w:val="18"/>
          <w:u w:val="single" w:color="auto"/>
          <w:color w:val="auto"/>
        </w:rPr>
        <w:t>Grant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Subject to the terms of the Plan, the Committee may from time to time grant Stock Options to Participants. Unless otherwise expressly provided at the time of the grant, Stock Options granted under the Plan to Key Employees will be NSOs. Stock Options granted under the Plan to Directors or Consultants who, in each case are not employees of the Company or any Subsidiary will be NSOs.</w:t>
      </w:r>
    </w:p>
    <w:p>
      <w:pPr>
        <w:spacing w:after="0" w:line="176"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5.2 </w:t>
      </w:r>
      <w:r>
        <w:rPr>
          <w:rFonts w:ascii="Times New Roman" w:cs="Times New Roman" w:eastAsia="Times New Roman" w:hAnsi="Times New Roman"/>
          <w:sz w:val="18"/>
          <w:szCs w:val="18"/>
          <w:u w:val="single" w:color="auto"/>
          <w:color w:val="auto"/>
        </w:rPr>
        <w:t>Stock Option Agreement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The grant of each Stock Option shall be evidenced by a written Stock Option Agreement specifying the type of Stock Option granted, the exercise period, the exercise price, the terms for payment of the exercise price, the expiration date of the Stock Option, the number of shares of Common Stock to be subject to each Stock Option and such other terms and conditions established by the Committee, in its sole discretion, not inconsistent with the Plan.</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46" w:name="page47"/>
    <w:bookmarkEnd w:id="46"/>
    <w:p>
      <w:pPr>
        <w:spacing w:after="0"/>
        <w:rPr>
          <w:sz w:val="20"/>
          <w:szCs w:val="20"/>
          <w:color w:val="auto"/>
        </w:rPr>
      </w:pPr>
      <w:r>
        <w:rPr>
          <w:rFonts w:ascii="Times New Roman" w:cs="Times New Roman" w:eastAsia="Times New Roman" w:hAnsi="Times New Roman"/>
          <w:sz w:val="18"/>
          <w:szCs w:val="18"/>
          <w:color w:val="auto"/>
        </w:rPr>
        <w:t xml:space="preserve">5.3 </w:t>
      </w:r>
      <w:r>
        <w:rPr>
          <w:rFonts w:ascii="Times New Roman" w:cs="Times New Roman" w:eastAsia="Times New Roman" w:hAnsi="Times New Roman"/>
          <w:sz w:val="18"/>
          <w:szCs w:val="18"/>
          <w:u w:val="single" w:color="auto"/>
          <w:color w:val="auto"/>
        </w:rPr>
        <w:t>Exercise Price and Exercise Period</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With respect to each Stock Option granted to a Participant:</w:t>
      </w:r>
    </w:p>
    <w:p>
      <w:pPr>
        <w:spacing w:after="0" w:line="225" w:lineRule="exact"/>
        <w:rPr>
          <w:sz w:val="20"/>
          <w:szCs w:val="20"/>
          <w:color w:val="auto"/>
        </w:rPr>
      </w:pPr>
    </w:p>
    <w:p>
      <w:pPr>
        <w:ind w:right="20" w:firstLine="644"/>
        <w:spacing w:after="0" w:line="282" w:lineRule="auto"/>
        <w:tabs>
          <w:tab w:leader="none" w:pos="905" w:val="left"/>
        </w:tabs>
        <w:numPr>
          <w:ilvl w:val="0"/>
          <w:numId w:val="3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per share exercise price of each Stock Option shall be not less than the Fair Market Value of the Common Stock subject to the Stock Option on the date on which the Stock Option is granted.</w:t>
      </w:r>
    </w:p>
    <w:p>
      <w:pPr>
        <w:spacing w:after="0" w:line="161" w:lineRule="exact"/>
        <w:rPr>
          <w:rFonts w:ascii="Times New Roman" w:cs="Times New Roman" w:eastAsia="Times New Roman" w:hAnsi="Times New Roman"/>
          <w:sz w:val="18"/>
          <w:szCs w:val="18"/>
          <w:color w:val="auto"/>
        </w:rPr>
      </w:pPr>
    </w:p>
    <w:p>
      <w:pPr>
        <w:jc w:val="both"/>
        <w:ind w:firstLine="644"/>
        <w:spacing w:after="0" w:line="266" w:lineRule="auto"/>
        <w:tabs>
          <w:tab w:leader="none" w:pos="909" w:val="left"/>
        </w:tabs>
        <w:numPr>
          <w:ilvl w:val="0"/>
          <w:numId w:val="3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Stock Option shall become vest and exercisable as provided in the Stock Option Agreement; provided that the Committee shall have the discretion to accelerate the date as of which any Stock Option shall become exercisable in the event of the Participant’s termination of employment with the Company, or service on the Board or as a Consultant, without cause (as determined by the Board in its sole discretion).</w:t>
      </w:r>
    </w:p>
    <w:p>
      <w:pPr>
        <w:spacing w:after="0" w:line="175" w:lineRule="exact"/>
        <w:rPr>
          <w:rFonts w:ascii="Times New Roman" w:cs="Times New Roman" w:eastAsia="Times New Roman" w:hAnsi="Times New Roman"/>
          <w:sz w:val="18"/>
          <w:szCs w:val="18"/>
          <w:color w:val="auto"/>
        </w:rPr>
      </w:pPr>
    </w:p>
    <w:p>
      <w:pPr>
        <w:ind w:firstLine="644"/>
        <w:spacing w:after="0" w:line="282" w:lineRule="auto"/>
        <w:tabs>
          <w:tab w:leader="none" w:pos="906" w:val="left"/>
        </w:tabs>
        <w:numPr>
          <w:ilvl w:val="0"/>
          <w:numId w:val="3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dividends or dividend equivalents shall be paid with respect to any shares subject to a Stock Option prior to the exercise of the Stock Option.</w:t>
      </w:r>
    </w:p>
    <w:p>
      <w:pPr>
        <w:spacing w:after="0" w:line="161" w:lineRule="exact"/>
        <w:rPr>
          <w:rFonts w:ascii="Times New Roman" w:cs="Times New Roman" w:eastAsia="Times New Roman" w:hAnsi="Times New Roman"/>
          <w:sz w:val="18"/>
          <w:szCs w:val="18"/>
          <w:color w:val="auto"/>
        </w:rPr>
      </w:pPr>
    </w:p>
    <w:p>
      <w:pPr>
        <w:ind w:firstLine="644"/>
        <w:spacing w:after="0" w:line="282" w:lineRule="auto"/>
        <w:tabs>
          <w:tab w:leader="none" w:pos="905" w:val="left"/>
        </w:tabs>
        <w:numPr>
          <w:ilvl w:val="0"/>
          <w:numId w:val="3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Stock Option shall expire, and all rights to purchase shares of Common Stock thereunder shall expire, on the date ten years after the date of grant.</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 xml:space="preserve">5.4 </w:t>
      </w:r>
      <w:r>
        <w:rPr>
          <w:rFonts w:ascii="Times New Roman" w:cs="Times New Roman" w:eastAsia="Times New Roman" w:hAnsi="Times New Roman"/>
          <w:sz w:val="18"/>
          <w:szCs w:val="18"/>
          <w:u w:val="single" w:color="auto"/>
          <w:color w:val="auto"/>
        </w:rPr>
        <w:t>Required Terms and Conditions of ISOs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In addition to the foregoing, each ISO granted to a Key Employee shall be subject to the following specific rules:</w:t>
      </w:r>
    </w:p>
    <w:p>
      <w:pPr>
        <w:spacing w:after="0" w:line="225" w:lineRule="exact"/>
        <w:rPr>
          <w:sz w:val="20"/>
          <w:szCs w:val="20"/>
          <w:color w:val="auto"/>
        </w:rPr>
      </w:pPr>
    </w:p>
    <w:p>
      <w:pPr>
        <w:jc w:val="both"/>
        <w:ind w:firstLine="644"/>
        <w:spacing w:after="0" w:line="256" w:lineRule="auto"/>
        <w:tabs>
          <w:tab w:leader="none" w:pos="900" w:val="left"/>
        </w:tabs>
        <w:numPr>
          <w:ilvl w:val="0"/>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aggregate Fair Market Value (determined with respect to each ISO at the time such Option is granted) of the shares of Common Stock with respect to which ISOs are exercisable for the first time by a Key Employee during any calendar year (under all incentive stock option plans of the Company and its Subsidiaries) shall not exceed $100,000. If the aggregate Fair Market Value (determined at the time of grant) of the Common Stock subject to an ISO which first becomes exercisable in any calendar year exceeds the limitation of this Section 5.4(a), so much of the ISO that does not exceed the applicable dollar limit shall be an ISO and the remainder shall be a NSO; but in all other respects, the original Stock Option Agreement shall remain in full force and effect.</w:t>
      </w:r>
    </w:p>
    <w:p>
      <w:pPr>
        <w:spacing w:after="0" w:line="187" w:lineRule="exact"/>
        <w:rPr>
          <w:rFonts w:ascii="Times New Roman" w:cs="Times New Roman" w:eastAsia="Times New Roman" w:hAnsi="Times New Roman"/>
          <w:sz w:val="18"/>
          <w:szCs w:val="18"/>
          <w:color w:val="auto"/>
        </w:rPr>
      </w:pPr>
    </w:p>
    <w:p>
      <w:pPr>
        <w:jc w:val="both"/>
        <w:ind w:firstLine="644"/>
        <w:spacing w:after="0" w:line="258" w:lineRule="auto"/>
        <w:tabs>
          <w:tab w:leader="none" w:pos="909" w:val="left"/>
        </w:tabs>
        <w:numPr>
          <w:ilvl w:val="0"/>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Notwithstanding anything herein to the contrary, if an ISO is granted to a Key Employee who owns stock possessing more than 10% of the total combined voting power of all classes of stock of the Company (or its parent or subsidiaries within the meaning of Section 422(b)(6) of the Code): (i) the purchase price of each share of Common Stock subject to the ISO shall be not less than 110% of the Fair Market Value of the Common Stock on the date the ISO is granted; and (ii) the ISO shall expire, and all rights to purchase shares of Common Stock thereunder shall expire, no later than the fifth anniversary of the date the ISO was granted.</w:t>
      </w:r>
    </w:p>
    <w:p>
      <w:pPr>
        <w:spacing w:after="0" w:line="183" w:lineRule="exact"/>
        <w:rPr>
          <w:rFonts w:ascii="Times New Roman" w:cs="Times New Roman" w:eastAsia="Times New Roman" w:hAnsi="Times New Roman"/>
          <w:sz w:val="18"/>
          <w:szCs w:val="18"/>
          <w:color w:val="auto"/>
        </w:rPr>
      </w:pPr>
    </w:p>
    <w:p>
      <w:pPr>
        <w:ind w:firstLine="644"/>
        <w:spacing w:after="0" w:line="282" w:lineRule="auto"/>
        <w:tabs>
          <w:tab w:leader="none" w:pos="895" w:val="left"/>
        </w:tabs>
        <w:numPr>
          <w:ilvl w:val="0"/>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ISOs shall be granted under the Plan after ten years from the earlier of the date the Plan is adopted or approved by stockholders of the Company.</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 xml:space="preserve">5.5 </w:t>
      </w:r>
      <w:r>
        <w:rPr>
          <w:rFonts w:ascii="Times New Roman" w:cs="Times New Roman" w:eastAsia="Times New Roman" w:hAnsi="Times New Roman"/>
          <w:sz w:val="18"/>
          <w:szCs w:val="18"/>
          <w:u w:val="single" w:color="auto"/>
          <w:color w:val="auto"/>
        </w:rPr>
        <w:t>Exercise of Stock Options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4"/>
        <w:spacing w:after="0" w:line="266" w:lineRule="auto"/>
        <w:tabs>
          <w:tab w:leader="none" w:pos="896" w:val="left"/>
        </w:tabs>
        <w:numPr>
          <w:ilvl w:val="0"/>
          <w:numId w:val="3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Participant entitled to exercise a Stock Option may do so by delivering written notice to that effect specifying the number of shares of Common Stock with respect to which the Stock Option is being exercised and any other information the Committee may prescribe. All notices or requests provided for herein shall be delivered to the Chief Financial Officer of the Company.</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ind w:left="4840"/>
        <w:spacing w:after="0"/>
        <w:rPr>
          <w:sz w:val="20"/>
          <w:szCs w:val="20"/>
          <w:color w:val="auto"/>
        </w:rPr>
      </w:pPr>
      <w:r>
        <w:rPr>
          <w:rFonts w:ascii="Times New Roman" w:cs="Times New Roman" w:eastAsia="Times New Roman" w:hAnsi="Times New Roman"/>
          <w:sz w:val="18"/>
          <w:szCs w:val="18"/>
          <w:color w:val="auto"/>
        </w:rPr>
        <w:t>B-5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-413385</wp:posOffset>
            </wp:positionH>
            <wp:positionV relativeFrom="paragraph">
              <wp:posOffset>17145</wp:posOffset>
            </wp:positionV>
            <wp:extent cx="7132320" cy="825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580"/>
          </w:cols>
          <w:pgMar w:left="980" w:top="796" w:right="339" w:bottom="1440" w:gutter="0" w:footer="0" w:header="0"/>
        </w:sectPr>
      </w:pPr>
    </w:p>
    <w:bookmarkStart w:id="47" w:name="page48"/>
    <w:bookmarkEnd w:id="47"/>
    <w:p>
      <w:pPr>
        <w:jc w:val="both"/>
        <w:ind w:left="660" w:firstLine="644"/>
        <w:spacing w:after="0" w:line="254" w:lineRule="auto"/>
        <w:tabs>
          <w:tab w:leader="none" w:pos="1585" w:val="left"/>
        </w:tabs>
        <w:numPr>
          <w:ilvl w:val="0"/>
          <w:numId w:val="3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Committee in its sole discretion may make available one or more of the following alternatives for the payment of the Stock Option exercise price: (i) in cash; (ii) in cash received from a broker-dealer to whom the Participant has submitted an exercise notice together with irrevocable instructions to deliver promptly to the Company the amount of sales proceeds from the sale of the shares subject to the Stock Option to pay the exercise price; (iii) by directing the Company to withhold such number of shares of Common Stock otherwise issuable in connection with the exercise of the Stock Option having an aggregate Fair Market Value equal to the exercise price; (iv) by delivering previously acquired shares of Common Stock that are acceptable to the Committee and that have an aggregate Fair Market Value on the date of exercise equal to the Stock Option exercise price; (v) by certifying to ownership by attestation of such previously acquired shares of Common Stock; or (vi) by combination of any of the foregoing methods.</w:t>
      </w:r>
    </w:p>
    <w:p>
      <w:pPr>
        <w:spacing w:after="0" w:line="192"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The Committee shall have the sole discretion to establish the terms and conditions applicable to any alternative made available for payment of the Stock Option exercise price.</w:t>
      </w:r>
    </w:p>
    <w:p>
      <w:pPr>
        <w:spacing w:after="0" w:line="162"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6.</w:t>
      </w:r>
      <w:r>
        <w:rPr>
          <w:sz w:val="20"/>
          <w:szCs w:val="20"/>
          <w:color w:val="auto"/>
        </w:rPr>
        <w:tab/>
      </w:r>
      <w:r>
        <w:rPr>
          <w:rFonts w:ascii="Times New Roman" w:cs="Times New Roman" w:eastAsia="Times New Roman" w:hAnsi="Times New Roman"/>
          <w:sz w:val="17"/>
          <w:szCs w:val="17"/>
          <w:color w:val="auto"/>
        </w:rPr>
        <w:t>Stock Awards.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6.1 </w:t>
      </w:r>
      <w:r>
        <w:rPr>
          <w:rFonts w:ascii="Times New Roman" w:cs="Times New Roman" w:eastAsia="Times New Roman" w:hAnsi="Times New Roman"/>
          <w:sz w:val="18"/>
          <w:szCs w:val="18"/>
          <w:u w:val="single" w:color="auto"/>
          <w:color w:val="auto"/>
        </w:rPr>
        <w:t>Grant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The Committee may, in its discretion, (a) grant shares of Common Stock under the Plan to any Participant without consideration from such Participant or (b) sell shares of Common Stock under the Plan to any Participant for such amount of cash, Common Stock or other consideration as the Committee deems appropriate.</w:t>
      </w:r>
    </w:p>
    <w:p>
      <w:pPr>
        <w:spacing w:after="0" w:line="176"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6.2 </w:t>
      </w:r>
      <w:r>
        <w:rPr>
          <w:rFonts w:ascii="Times New Roman" w:cs="Times New Roman" w:eastAsia="Times New Roman" w:hAnsi="Times New Roman"/>
          <w:sz w:val="18"/>
          <w:szCs w:val="18"/>
          <w:u w:val="single" w:color="auto"/>
          <w:color w:val="auto"/>
        </w:rPr>
        <w:t>Stock Award Agreement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Each share of Common Stock granted or sold hereunder shall be subject to such restrictions, conditions and other terms as the Board may determine at the time of grant or sale, the general provisions of the Plan, the restrictions, terms and conditions of the related Stock Award Agreement, and the following specific rules:</w:t>
      </w:r>
    </w:p>
    <w:p>
      <w:pPr>
        <w:spacing w:after="0" w:line="176" w:lineRule="exact"/>
        <w:rPr>
          <w:sz w:val="20"/>
          <w:szCs w:val="20"/>
          <w:color w:val="auto"/>
        </w:rPr>
      </w:pPr>
    </w:p>
    <w:p>
      <w:pPr>
        <w:ind w:left="660" w:firstLine="644"/>
        <w:spacing w:after="0" w:line="282" w:lineRule="auto"/>
        <w:tabs>
          <w:tab w:leader="none" w:pos="1581" w:val="left"/>
        </w:tabs>
        <w:numPr>
          <w:ilvl w:val="0"/>
          <w:numId w:val="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Award Agreement shall specify whether the shares of Common Stock are granted or sold to the Participant and such other provisions, not inconsistent with the terms and conditions of the Plan, as the Committee shall determine.</w:t>
      </w:r>
    </w:p>
    <w:p>
      <w:pPr>
        <w:spacing w:after="0" w:line="161"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97" w:val="left"/>
        </w:tabs>
        <w:numPr>
          <w:ilvl w:val="0"/>
          <w:numId w:val="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restrictions to which the shares of Common Stock awarded hereunder are subject shall lapse as provided in Stock Award Agreement; provided that the Committee shall have the discretion to accelerate the date as of which the restrictions lapse with respect to any Award held by a Participant in the event of the Participant’s termination of employment with the Company, or service on the Board or as a Consultant, without cause (as determined by the Committee in its sole discretion).</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55" w:lineRule="auto"/>
        <w:tabs>
          <w:tab w:leader="none" w:pos="1585" w:val="left"/>
        </w:tabs>
        <w:numPr>
          <w:ilvl w:val="0"/>
          <w:numId w:val="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Except as provided in this subsection (c) and unless otherwise set forth in the related Stock Award Agreement, the Participant receiving a grant of or purchasing Common Stock pursuant to an Award Agreement shall thereupon be a stockholder with respect to such shares and shall have the rights of a stockholder with respect to such shares, including the right to vote such shares and to receive dividends and other distributions paid with respect to such shares; provided that any dividends or other distributions payable with respect to the Stock Award shall be accumulated and held by the Company and paid to the Participant only upon, and to the extent, the restrictions lapse in accordance with the terms of the applicable Stock Award Agreement. Any such dividends or other distributions held by the Company attributable to the portion of a Stock Award that is forfeited shall also be forfeited.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48" w:name="page49"/>
    <w:bookmarkEnd w:id="48"/>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7.</w:t>
      </w:r>
      <w:r>
        <w:rPr>
          <w:sz w:val="20"/>
          <w:szCs w:val="20"/>
          <w:color w:val="auto"/>
        </w:rPr>
        <w:tab/>
      </w:r>
      <w:r>
        <w:rPr>
          <w:rFonts w:ascii="Times New Roman" w:cs="Times New Roman" w:eastAsia="Times New Roman" w:hAnsi="Times New Roman"/>
          <w:sz w:val="17"/>
          <w:szCs w:val="17"/>
          <w:color w:val="auto"/>
        </w:rPr>
        <w:t>Stock Unit Awards.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7.1 </w:t>
      </w:r>
      <w:r>
        <w:rPr>
          <w:rFonts w:ascii="Times New Roman" w:cs="Times New Roman" w:eastAsia="Times New Roman" w:hAnsi="Times New Roman"/>
          <w:sz w:val="18"/>
          <w:szCs w:val="18"/>
          <w:u w:val="single" w:color="auto"/>
          <w:color w:val="auto"/>
        </w:rPr>
        <w:t>Grant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The Committee may, in its discretion, grant Stock Unit Awards to any Participant. Each Stock Unit subject to the Award shall entitle the Participant to receive, on the date or the occurrence of an event (including the attainment of performance goals) as described in the Stock Unit Award Agreement, a share of Common Stock or cash equal to the Fair Market Value of a share of Common Stock on such date or the date of such event as provided in the Stock Unit Award Agreement.</w:t>
      </w:r>
    </w:p>
    <w:p>
      <w:pPr>
        <w:spacing w:after="0" w:line="180"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7.2 </w:t>
      </w:r>
      <w:r>
        <w:rPr>
          <w:rFonts w:ascii="Times New Roman" w:cs="Times New Roman" w:eastAsia="Times New Roman" w:hAnsi="Times New Roman"/>
          <w:sz w:val="18"/>
          <w:szCs w:val="18"/>
          <w:u w:val="single" w:color="auto"/>
          <w:color w:val="auto"/>
        </w:rPr>
        <w:t>Stock Unit Agreement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Each Stock Unit Award shall be subject to such restrictions, conditions and other terms as the Committee may determine at the time of grant, the general provisions of the Plan, the restrictions, terms and conditions of the related Stock Unit Award Agreement and the following specific rules:</w:t>
      </w:r>
    </w:p>
    <w:p>
      <w:pPr>
        <w:spacing w:after="0" w:line="162" w:lineRule="exact"/>
        <w:rPr>
          <w:sz w:val="20"/>
          <w:szCs w:val="20"/>
          <w:color w:val="auto"/>
        </w:rPr>
      </w:pPr>
    </w:p>
    <w:p>
      <w:pPr>
        <w:ind w:left="660" w:firstLine="644"/>
        <w:spacing w:after="0" w:line="282" w:lineRule="auto"/>
        <w:tabs>
          <w:tab w:leader="none" w:pos="1555" w:val="left"/>
        </w:tabs>
        <w:numPr>
          <w:ilvl w:val="0"/>
          <w:numId w:val="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Stock Unit Agreement shall specify such provisions, not inconsistent with the terms and conditions of the Plan, as the Committee shall determine.</w:t>
      </w:r>
    </w:p>
    <w:p>
      <w:pPr>
        <w:spacing w:after="0" w:line="161"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73" w:val="left"/>
        </w:tabs>
        <w:numPr>
          <w:ilvl w:val="0"/>
          <w:numId w:val="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restrictions to which the shares of Stock Units awarded hereunder are subject shall lapse as provided in Stock Unit Agreement; provided that the Committee shall have the discretion to accelerate the date as of which the restrictions lapse with respect to any Award held by a Participant in the event of the Participant’s termination of employment with the Company, or service on the Board or as a Consultant, without cause (as determined by the Board in its sole discretion).</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54" w:lineRule="auto"/>
        <w:tabs>
          <w:tab w:leader="none" w:pos="1555" w:val="left"/>
        </w:tabs>
        <w:numPr>
          <w:ilvl w:val="0"/>
          <w:numId w:val="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Except as provided in this subsection (c) and unless otherwise set forth in the Stock Unit Agreement, the Participant receiving a Stock Unit Award shall have no rights of a stockholder, including voting or dividends or other distributions rights, with respect to any Stock Units prior to the date they are settled in shares of Common Stock; provided that a Stock Unit Award Agreement may provide that until the Stock Units are settled in shares or cash, the Participant shall be entitled to receive on each dividend or distribution payment date applicable to the Common Stock an amount equal to the dividends or other distributions that the Participant would have received had the Stock Units held by the Participant as of the related record date been actual shares of Common Stock. Such amounts shall be accumulated and held by the Company and paid to the Participant only upon, and to the extent, the restrictions lapse in accordance with the terms of the applicable Stock Unit Award Agreement. Such amounts held by the Company attributable to the portion of the Stock Unit Award that is forfeited shall also be forfeited.</w:t>
      </w:r>
    </w:p>
    <w:p>
      <w:pPr>
        <w:spacing w:after="0" w:line="192"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8.</w:t>
      </w:r>
      <w:r>
        <w:rPr>
          <w:sz w:val="20"/>
          <w:szCs w:val="20"/>
          <w:color w:val="auto"/>
        </w:rPr>
        <w:tab/>
      </w:r>
      <w:r>
        <w:rPr>
          <w:rFonts w:ascii="Times New Roman" w:cs="Times New Roman" w:eastAsia="Times New Roman" w:hAnsi="Times New Roman"/>
          <w:sz w:val="17"/>
          <w:szCs w:val="17"/>
          <w:color w:val="auto"/>
        </w:rPr>
        <w:t>SARs.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8.1 </w:t>
      </w:r>
      <w:r>
        <w:rPr>
          <w:rFonts w:ascii="Times New Roman" w:cs="Times New Roman" w:eastAsia="Times New Roman" w:hAnsi="Times New Roman"/>
          <w:sz w:val="18"/>
          <w:szCs w:val="18"/>
          <w:u w:val="single" w:color="auto"/>
          <w:color w:val="auto"/>
        </w:rPr>
        <w:t>Grant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56" w:lineRule="auto"/>
        <w:rPr>
          <w:sz w:val="20"/>
          <w:szCs w:val="20"/>
          <w:color w:val="auto"/>
        </w:rPr>
      </w:pPr>
      <w:r>
        <w:rPr>
          <w:rFonts w:ascii="Times New Roman" w:cs="Times New Roman" w:eastAsia="Times New Roman" w:hAnsi="Times New Roman"/>
          <w:sz w:val="18"/>
          <w:szCs w:val="18"/>
          <w:color w:val="auto"/>
        </w:rPr>
        <w:t>The Committee may grant SARs to Participants. Upon exercise, an SAR entitles the Participant to receive from the Company the number of shares of Common Stock having an aggregate Fair Market Value equal to the excess of the Fair Market Value of one share as of the date on which the SAR is exercised over the exercise price, multiplied by the number of shares with respect to which the SAR is being exercised. The Committee, in its discretion, shall be entitled to cause the Company to elect to settle any part or all of its obligations arising out of the exercise of an SAR by the payment of cash in lieu of all or part of the shares it would otherwise be obligated to deliver in an amount equal to the Fair Market Value of such shares on the date of exercise. Cash shall be delivered in lieu of any fractional shares. The terms and conditions of any such Award shall be determined at the time of grant.</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49" w:name="page50"/>
    <w:bookmarkEnd w:id="49"/>
    <w:p>
      <w:pPr>
        <w:ind w:left="660"/>
        <w:spacing w:after="0"/>
        <w:rPr>
          <w:sz w:val="20"/>
          <w:szCs w:val="20"/>
          <w:color w:val="auto"/>
        </w:rPr>
      </w:pPr>
      <w:r>
        <w:rPr>
          <w:rFonts w:ascii="Times New Roman" w:cs="Times New Roman" w:eastAsia="Times New Roman" w:hAnsi="Times New Roman"/>
          <w:sz w:val="18"/>
          <w:szCs w:val="18"/>
          <w:color w:val="auto"/>
        </w:rPr>
        <w:t xml:space="preserve">8.2 </w:t>
      </w:r>
      <w:r>
        <w:rPr>
          <w:rFonts w:ascii="Times New Roman" w:cs="Times New Roman" w:eastAsia="Times New Roman" w:hAnsi="Times New Roman"/>
          <w:sz w:val="18"/>
          <w:szCs w:val="18"/>
          <w:u w:val="single" w:color="auto"/>
          <w:color w:val="auto"/>
        </w:rPr>
        <w:t>SAR Agreement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660" w:firstLine="644"/>
        <w:spacing w:after="0" w:line="266" w:lineRule="auto"/>
        <w:tabs>
          <w:tab w:leader="none" w:pos="1566"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SAR shall be evidenced by a written SAR Agreement specifying the terms and conditions of the SAR as the Committee may determine, including the SAR exercise price, expiration date of the SAR, the number of shares of Common Stock to which the SAR pertains, the form of settlement and such other terms and conditions established by the Committee, in its sole discretion, not inconsistent with the Plan.</w:t>
      </w:r>
    </w:p>
    <w:p>
      <w:pPr>
        <w:spacing w:after="0" w:line="175" w:lineRule="exact"/>
        <w:rPr>
          <w:rFonts w:ascii="Times New Roman" w:cs="Times New Roman" w:eastAsia="Times New Roman" w:hAnsi="Times New Roman"/>
          <w:sz w:val="18"/>
          <w:szCs w:val="18"/>
          <w:color w:val="auto"/>
        </w:rPr>
      </w:pPr>
    </w:p>
    <w:p>
      <w:pPr>
        <w:ind w:left="1580" w:hanging="276"/>
        <w:spacing w:after="0"/>
        <w:tabs>
          <w:tab w:leader="none" w:pos="158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per Share exercise price of each SAR shall not be less than 100% of the Fair Market Value of a Share on the date the SAR is</w:t>
      </w:r>
    </w:p>
    <w:p>
      <w:pPr>
        <w:spacing w:after="0" w:line="27" w:lineRule="exact"/>
        <w:rPr>
          <w:rFonts w:ascii="Times New Roman" w:cs="Times New Roman" w:eastAsia="Times New Roman" w:hAnsi="Times New Roman"/>
          <w:sz w:val="18"/>
          <w:szCs w:val="18"/>
          <w:color w:val="auto"/>
        </w:rPr>
      </w:pPr>
    </w:p>
    <w:p>
      <w:pPr>
        <w:ind w:left="66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granted.</w:t>
      </w:r>
    </w:p>
    <w:p>
      <w:pPr>
        <w:spacing w:after="0" w:line="206"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57"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SAR shall expire and all rights thereunder shall cease on the date fixed by the Committee in the related SAR Agreement, which shall not be later than the ten years after the date of grant; provided however, if a Participant is unable to exercise an SAR because trading in the Common Stock is prohibited by law or the Company’s insider-trading policy, the SAR exercise date shall be extended to the date that is 30 days after the expiration of the trading prohibition.</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98"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SAR shall become exercisable as provided in the related SAR Agreement; provided that notwithstanding any other Plan provision, the Committee shall have the discretion to accelerate the date as of which any SAR shall become exercisable in the event of the Participant’s termination of employment, or service on the Board or as a Consultant, without cause (as determined by the Committee in its sole discretion).</w:t>
      </w:r>
    </w:p>
    <w:p>
      <w:pPr>
        <w:spacing w:after="0" w:line="179" w:lineRule="exact"/>
        <w:rPr>
          <w:rFonts w:ascii="Times New Roman" w:cs="Times New Roman" w:eastAsia="Times New Roman" w:hAnsi="Times New Roman"/>
          <w:sz w:val="18"/>
          <w:szCs w:val="18"/>
          <w:color w:val="auto"/>
        </w:rPr>
      </w:pPr>
    </w:p>
    <w:p>
      <w:pPr>
        <w:ind w:left="1540" w:hanging="236"/>
        <w:spacing w:after="0"/>
        <w:tabs>
          <w:tab w:leader="none" w:pos="1540"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dividends or dividend equivalents shall be paid with respect to any SAR prior to the exercise of the SAR.</w:t>
      </w:r>
    </w:p>
    <w:p>
      <w:pPr>
        <w:spacing w:after="0" w:line="225" w:lineRule="exact"/>
        <w:rPr>
          <w:rFonts w:ascii="Times New Roman" w:cs="Times New Roman" w:eastAsia="Times New Roman" w:hAnsi="Times New Roman"/>
          <w:sz w:val="18"/>
          <w:szCs w:val="18"/>
          <w:color w:val="auto"/>
        </w:rPr>
      </w:pPr>
    </w:p>
    <w:p>
      <w:pPr>
        <w:jc w:val="both"/>
        <w:ind w:left="660" w:firstLine="644"/>
        <w:spacing w:after="0" w:line="255" w:lineRule="auto"/>
        <w:tabs>
          <w:tab w:leader="none" w:pos="1553"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person entitled to exercise an SAR may do so by delivery of a written notice in accordance with procedures established by the Committee specifying the number of shares of Common Stock with respect to which the SAR is being exercised and any other information the Committee may prescribe. As soon as reasonably practicable after the exercise of an SAR, the Company shall (i) issue the total number of full shares of Common Stock to which the Participant is entitled and cash in an amount equal to the Fair Market Value, as of the date of exercise, of any resulting fractional share, and (ii) if the Committee causes the Company to elect to settle all or part of its obligations arising out of the exercise of the SAR in cash, deliver to the Participant an amount in cash equal to the Fair Market Value, as of the date of exercise, of the shares it would otherwise be obligated to deliver.</w:t>
      </w:r>
    </w:p>
    <w:p>
      <w:pPr>
        <w:spacing w:after="0" w:line="189"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9.</w:t>
      </w:r>
      <w:r>
        <w:rPr>
          <w:sz w:val="20"/>
          <w:szCs w:val="20"/>
          <w:color w:val="auto"/>
        </w:rPr>
        <w:tab/>
      </w:r>
      <w:r>
        <w:rPr>
          <w:rFonts w:ascii="Times New Roman" w:cs="Times New Roman" w:eastAsia="Times New Roman" w:hAnsi="Times New Roman"/>
          <w:sz w:val="18"/>
          <w:szCs w:val="18"/>
          <w:color w:val="auto"/>
        </w:rPr>
        <w:t>Change in Control.</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9.1 </w:t>
      </w:r>
      <w:r>
        <w:rPr>
          <w:rFonts w:ascii="Times New Roman" w:cs="Times New Roman" w:eastAsia="Times New Roman" w:hAnsi="Times New Roman"/>
          <w:sz w:val="18"/>
          <w:szCs w:val="18"/>
          <w:u w:val="single" w:color="auto"/>
          <w:color w:val="auto"/>
        </w:rPr>
        <w:t>Effect of a Change in Control</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660" w:firstLine="644"/>
        <w:spacing w:after="0" w:line="261" w:lineRule="auto"/>
        <w:tabs>
          <w:tab w:leader="none" w:pos="1562" w:val="left"/>
        </w:tabs>
        <w:numPr>
          <w:ilvl w:val="1"/>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Notwithstanding any of the provisions of the Plan or any outstanding Award Agreement, upon a Change in Control of the Company (as defined in Section 9.2), the Board is authorized and has sole discretion to provide that (i) all outstanding Awards shall become fully exercisable, (ii) all restrictions applicable to all Awards shall terminate or lapse and (iii) performance goals applicable to any Awards shall be deemed satisfied at the highest level, as applicable, in order that Participants may realize the benefits thereunder.</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55" w:lineRule="auto"/>
        <w:tabs>
          <w:tab w:leader="none" w:pos="1568" w:val="left"/>
        </w:tabs>
        <w:numPr>
          <w:ilvl w:val="1"/>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addition to the Board’s authority set forth in Section 3, upon such Change in Control of the Company, the Board is authorized and has sole discretion as to any Award, either at the time such Award is granted hereunder or any time thereafter, to take any one or more of the following actions: (i) provide for the purchase of any outstanding Stock Option or SAR, for an amount of cash equal to the difference between the exercise price and the then Fair Market Value of the Common Stock covered thereby had such Stock Option or SAR been currently exercisable;</w:t>
      </w:r>
    </w:p>
    <w:p>
      <w:pPr>
        <w:spacing w:after="0" w:line="2" w:lineRule="exact"/>
        <w:rPr>
          <w:rFonts w:ascii="Times New Roman" w:cs="Times New Roman" w:eastAsia="Times New Roman" w:hAnsi="Times New Roman"/>
          <w:sz w:val="18"/>
          <w:szCs w:val="18"/>
          <w:color w:val="auto"/>
        </w:rPr>
      </w:pPr>
    </w:p>
    <w:p>
      <w:pPr>
        <w:jc w:val="both"/>
        <w:ind w:left="660" w:hanging="4"/>
        <w:spacing w:after="0" w:line="253" w:lineRule="auto"/>
        <w:tabs>
          <w:tab w:leader="none" w:pos="935" w:val="left"/>
        </w:tabs>
        <w:numPr>
          <w:ilvl w:val="0"/>
          <w:numId w:val="3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make such adjustment to any such Award then outstanding as the Board deems appropriate to reflect such Change in Control; and (iii) cause any such Award then outstanding to be assumed by the acquiring or surviving corporation after such Change in Control. Without limiting the generality of the foregoing, in the case of any Stock Option or SAR with an exercise price that equals or exceeds the fair market value of the per share consideration received by holders of Common Stock in the Change in Control, the Board may cancel the Stock Option or SAR without the payment of consideration therefor.</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50" w:name="page51"/>
    <w:bookmarkEnd w:id="50"/>
    <w:p>
      <w:pPr>
        <w:ind w:left="660"/>
        <w:spacing w:after="0"/>
        <w:rPr>
          <w:sz w:val="20"/>
          <w:szCs w:val="20"/>
          <w:color w:val="auto"/>
        </w:rPr>
      </w:pPr>
      <w:r>
        <w:rPr>
          <w:rFonts w:ascii="Times New Roman" w:cs="Times New Roman" w:eastAsia="Times New Roman" w:hAnsi="Times New Roman"/>
          <w:sz w:val="18"/>
          <w:szCs w:val="18"/>
          <w:color w:val="auto"/>
        </w:rPr>
        <w:t xml:space="preserve">9.2 </w:t>
      </w:r>
      <w:r>
        <w:rPr>
          <w:rFonts w:ascii="Times New Roman" w:cs="Times New Roman" w:eastAsia="Times New Roman" w:hAnsi="Times New Roman"/>
          <w:sz w:val="18"/>
          <w:szCs w:val="18"/>
          <w:u w:val="single" w:color="auto"/>
          <w:color w:val="auto"/>
        </w:rPr>
        <w:t>Definition of Change in Control</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“Change in Control” of the Company shall be deemed to have occurred if at any time during the term of an Award granted under the Plan any of the following events occurs:</w:t>
      </w:r>
    </w:p>
    <w:p>
      <w:pPr>
        <w:spacing w:after="0" w:line="162" w:lineRule="exact"/>
        <w:rPr>
          <w:sz w:val="20"/>
          <w:szCs w:val="20"/>
          <w:color w:val="auto"/>
        </w:rPr>
      </w:pPr>
    </w:p>
    <w:p>
      <w:pPr>
        <w:jc w:val="both"/>
        <w:ind w:left="660" w:firstLine="644"/>
        <w:spacing w:after="0" w:line="258" w:lineRule="auto"/>
        <w:tabs>
          <w:tab w:leader="none" w:pos="1553" w:val="left"/>
        </w:tabs>
        <w:numPr>
          <w:ilvl w:val="0"/>
          <w:numId w:val="3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Person (other than the Company, a trustee or other fiduciary holding securities under an employee benefit plan of the Company, or a corporation owned directly or indirectly by the stockholders of the Company in substantially the same proportions as their ownership of shares of Common Stock of the Company) is or becomes the Beneficial Owner, directly or indirectly, of securities of the Company representing 30% or more of the combined voting power of the Company’s then outstanding securities entitled to vote generally in the election of directors (“Person” and “Beneficial Owner” being defined in Rule 13d-3 of the General Rules and Regulations of the Exchange Act);</w:t>
      </w:r>
    </w:p>
    <w:p>
      <w:pPr>
        <w:spacing w:after="0" w:line="183" w:lineRule="exact"/>
        <w:rPr>
          <w:rFonts w:ascii="Times New Roman" w:cs="Times New Roman" w:eastAsia="Times New Roman" w:hAnsi="Times New Roman"/>
          <w:sz w:val="18"/>
          <w:szCs w:val="18"/>
          <w:color w:val="auto"/>
        </w:rPr>
      </w:pPr>
    </w:p>
    <w:p>
      <w:pPr>
        <w:jc w:val="both"/>
        <w:ind w:left="660" w:firstLine="644"/>
        <w:spacing w:after="0" w:line="255" w:lineRule="auto"/>
        <w:tabs>
          <w:tab w:leader="none" w:pos="1570" w:val="left"/>
        </w:tabs>
        <w:numPr>
          <w:ilvl w:val="0"/>
          <w:numId w:val="3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is party to a merger, consolidation, reorganization or other similar transaction with another corporation or other Person unless, following such transaction, more than 50% of the combined voting power of the outstanding securities of the surviving, resulting or acquiring corporation or Person or its parent entity entitled to vote generally in the election of directors (or Persons performing similar functions) is then beneficially owned, directly or indirectly, by all or substantially all of the individuals and entities who were the beneficial owners of the Company’s outstanding securities entitled to vote generally in the election of directors immediately prior to such transaction, in substantially the same proportions as their ownership, immediately prior to such transaction, of the Company’s outstanding securities entitled to vote generally in the election of directors;</w:t>
      </w:r>
    </w:p>
    <w:p>
      <w:pPr>
        <w:spacing w:after="0" w:line="188"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68" w:val="left"/>
        </w:tabs>
        <w:numPr>
          <w:ilvl w:val="0"/>
          <w:numId w:val="3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election to the Board, without the recommendation or approval of two-thirds of the incumbent Board, of the lesser of: (i) three Directors; or (ii) Directors constituting a majority of the number of Directors of the Company then in office; provided, however, that Directors whose initial assumption of office is in connection with an actual or threatened election contest, including but not limited to a consent solicitation, relating to the election of Directors of the Company will not be considered as incumbent members of the Board for purposes of this Section; or</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55" w:lineRule="auto"/>
        <w:tabs>
          <w:tab w:leader="none" w:pos="1564" w:val="left"/>
        </w:tabs>
        <w:numPr>
          <w:ilvl w:val="0"/>
          <w:numId w:val="3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there is a complete liquidation or dissolution of the Company, or the Company sells all or substantially all of its business and/or assets to another corporation or other Person unless, following such sale, more than 50% of the combined voting power of the outstanding securities of the acquiring corporation or Person or its parent entity entitled to vote generally in the election of directors (or Persons performing similar functions) is then beneficially owned, directly or indirectly, by all or substantially all of the individuals and entities who were the beneficial owners of the Company’s outstanding securities entitled to vote generally in the election of directors immediately prior to such sale, in substantially the same proportions as their ownership, immediately prior to such sale, of the Company’s outstanding securities entitled to vote generally in the election of directors.</w:t>
      </w:r>
    </w:p>
    <w:p>
      <w:pPr>
        <w:spacing w:after="0" w:line="189" w:lineRule="exact"/>
        <w:rPr>
          <w:sz w:val="20"/>
          <w:szCs w:val="20"/>
          <w:color w:val="auto"/>
        </w:rPr>
      </w:pPr>
    </w:p>
    <w:p>
      <w:pPr>
        <w:jc w:val="both"/>
        <w:ind w:firstLine="648"/>
        <w:spacing w:after="0" w:line="257" w:lineRule="auto"/>
        <w:rPr>
          <w:sz w:val="20"/>
          <w:szCs w:val="20"/>
          <w:color w:val="auto"/>
        </w:rPr>
      </w:pPr>
      <w:r>
        <w:rPr>
          <w:rFonts w:ascii="Times New Roman" w:cs="Times New Roman" w:eastAsia="Times New Roman" w:hAnsi="Times New Roman"/>
          <w:sz w:val="18"/>
          <w:szCs w:val="18"/>
          <w:color w:val="auto"/>
        </w:rPr>
        <w:t>In no event, however, shall a Change in Control be deemed to have occurred, with respect to a Participant, if that Participant is part of a purchasing group which consummates the Change in Control transaction. A Participant shall be deemed “part of a purchasing group” for purposes of the preceding sentence if the Participant is an equity participant or has agreed to become an equity participant in the purchasing company or group (except for</w:t>
      </w:r>
    </w:p>
    <w:p>
      <w:pPr>
        <w:spacing w:after="0" w:line="1" w:lineRule="exact"/>
        <w:rPr>
          <w:sz w:val="20"/>
          <w:szCs w:val="20"/>
          <w:color w:val="auto"/>
        </w:rPr>
      </w:pPr>
    </w:p>
    <w:p>
      <w:pPr>
        <w:ind w:firstLine="8"/>
        <w:spacing w:after="0" w:line="260" w:lineRule="auto"/>
        <w:tabs>
          <w:tab w:leader="none" w:pos="263" w:val="left"/>
        </w:tabs>
        <w:numPr>
          <w:ilvl w:val="0"/>
          <w:numId w:val="4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passive ownership of less than 3% of the shares of the purchasing company; or (b) ownership of equity participation in the purchasing company or group which is otherwise not deemed to be significant, as determined prior to the Change in Control by a majority of the disinterested Directors).</w:t>
      </w:r>
    </w:p>
    <w:p>
      <w:pPr>
        <w:spacing w:after="0" w:line="181"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10.</w:t>
      </w:r>
      <w:r>
        <w:rPr>
          <w:sz w:val="20"/>
          <w:szCs w:val="20"/>
          <w:color w:val="auto"/>
        </w:rPr>
        <w:tab/>
      </w:r>
      <w:r>
        <w:rPr>
          <w:rFonts w:ascii="Times New Roman" w:cs="Times New Roman" w:eastAsia="Times New Roman" w:hAnsi="Times New Roman"/>
          <w:sz w:val="17"/>
          <w:szCs w:val="17"/>
          <w:color w:val="auto"/>
        </w:rPr>
        <w:t>Payment of Taxes.</w:t>
      </w:r>
    </w:p>
    <w:p>
      <w:pPr>
        <w:spacing w:after="0" w:line="225" w:lineRule="exact"/>
        <w:rPr>
          <w:sz w:val="20"/>
          <w:szCs w:val="20"/>
          <w:color w:val="auto"/>
        </w:rPr>
      </w:pPr>
    </w:p>
    <w:p>
      <w:pPr>
        <w:jc w:val="both"/>
        <w:ind w:left="660" w:firstLine="644"/>
        <w:spacing w:after="0" w:line="261" w:lineRule="auto"/>
        <w:tabs>
          <w:tab w:leader="none" w:pos="1568" w:val="left"/>
        </w:tabs>
        <w:numPr>
          <w:ilvl w:val="0"/>
          <w:numId w:val="4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connection with any Award, and as a condition to the issuance or delivery of any shares of Common Stock to the Participant in connection therewith, the Company shall require the Participant to pay the Company the minimum amount of federal, state, local or foreign taxes required to be withheld, and in the Company’s sole discretion, the Company may permit the Participant to pay the Company up to the maximum individual statutory rate of applicable withholding.</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51" w:name="page52"/>
    <w:bookmarkEnd w:id="51"/>
    <w:p>
      <w:pPr>
        <w:jc w:val="both"/>
        <w:ind w:left="660" w:firstLine="644"/>
        <w:spacing w:after="0" w:line="255" w:lineRule="auto"/>
        <w:tabs>
          <w:tab w:leader="none" w:pos="1566" w:val="left"/>
        </w:tabs>
        <w:numPr>
          <w:ilvl w:val="0"/>
          <w:numId w:val="4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in its sole discretion may make available one or more of the following alternatives for the payment of such taxes: (i) in cash; (ii) in cash received from a broker-dealer to whom the Participant has submitted notice together with irrevocable instructions to deliver promptly to the Company the amount of sales proceeds from the sale of the shares subject to the Award to pay the withholding taxes; (iii) by directing the Company to withhold such number of shares of Common Stock otherwise issuable in connection with the Award having an aggregate Fair Market Value equal to the minimum amount of tax required to be withheld; (iv) by delivering previously acquired shares of Common Stock of the Company that are acceptable to the Board that have an aggregate Fair Market Value equal to the amount required to be withheld; or (v) by certifying to ownership by attestation of such previously acquired shares of Common Stock.</w:t>
      </w:r>
    </w:p>
    <w:p>
      <w:pPr>
        <w:spacing w:after="0" w:line="189"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The Committee shall have the sole discretion to establish the terms and conditions applicable to any alternative made available for payment of the required withholding taxes.</w:t>
      </w:r>
    </w:p>
    <w:p>
      <w:pPr>
        <w:spacing w:after="0" w:line="162"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11.</w:t>
      </w:r>
      <w:r>
        <w:rPr>
          <w:sz w:val="20"/>
          <w:szCs w:val="20"/>
          <w:color w:val="auto"/>
        </w:rPr>
        <w:tab/>
      </w:r>
      <w:r>
        <w:rPr>
          <w:rFonts w:ascii="Times New Roman" w:cs="Times New Roman" w:eastAsia="Times New Roman" w:hAnsi="Times New Roman"/>
          <w:sz w:val="17"/>
          <w:szCs w:val="17"/>
          <w:color w:val="auto"/>
        </w:rPr>
        <w:t>Postponement.</w:t>
      </w:r>
    </w:p>
    <w:p>
      <w:pPr>
        <w:spacing w:after="0" w:line="225"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The Committee may postpone any grant or settlement of an Award or exercise of a Stock Option or SAR for such time as the Board in its sole discretion may deem necessary in order to permit the Company:</w:t>
      </w:r>
    </w:p>
    <w:p>
      <w:pPr>
        <w:spacing w:after="0" w:line="162" w:lineRule="exact"/>
        <w:rPr>
          <w:sz w:val="20"/>
          <w:szCs w:val="20"/>
          <w:color w:val="auto"/>
        </w:rPr>
      </w:pPr>
    </w:p>
    <w:p>
      <w:pPr>
        <w:jc w:val="both"/>
        <w:ind w:left="660" w:firstLine="644"/>
        <w:spacing w:after="0" w:line="266" w:lineRule="auto"/>
        <w:tabs>
          <w:tab w:leader="none" w:pos="1569" w:val="left"/>
        </w:tabs>
        <w:numPr>
          <w:ilvl w:val="0"/>
          <w:numId w:val="4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effect, amend or maintain any necessary registration of the Plan or the shares of Common Stock issuable pursuant to an Award, including upon the exercise of a Stock Option or SAR, under the Securities Act of 1933, as amended, or the securities laws of any applicable jurisdiction;</w:t>
      </w:r>
    </w:p>
    <w:p>
      <w:pPr>
        <w:spacing w:after="0" w:line="175" w:lineRule="exact"/>
        <w:rPr>
          <w:rFonts w:ascii="Times New Roman" w:cs="Times New Roman" w:eastAsia="Times New Roman" w:hAnsi="Times New Roman"/>
          <w:sz w:val="18"/>
          <w:szCs w:val="18"/>
          <w:color w:val="auto"/>
        </w:rPr>
      </w:pPr>
    </w:p>
    <w:p>
      <w:pPr>
        <w:jc w:val="both"/>
        <w:ind w:left="660" w:firstLine="644"/>
        <w:spacing w:after="0" w:line="266" w:lineRule="auto"/>
        <w:tabs>
          <w:tab w:leader="none" w:pos="1567" w:val="left"/>
        </w:tabs>
        <w:numPr>
          <w:ilvl w:val="0"/>
          <w:numId w:val="4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permit any action to be taken in order to (i) list such shares of Common Stock on a stock exchange if shares of Common Stock are then listed on such exchange or (ii) comply with restrictions or regulations incident to the maintenance of a public market for its shares of Common Stock, including any rules or regulations of any stock exchange on which the shares of Common Stock are listed; or</w:t>
      </w:r>
    </w:p>
    <w:p>
      <w:pPr>
        <w:spacing w:after="0" w:line="175" w:lineRule="exact"/>
        <w:rPr>
          <w:rFonts w:ascii="Times New Roman" w:cs="Times New Roman" w:eastAsia="Times New Roman" w:hAnsi="Times New Roman"/>
          <w:sz w:val="18"/>
          <w:szCs w:val="18"/>
          <w:color w:val="auto"/>
        </w:rPr>
      </w:pPr>
    </w:p>
    <w:p>
      <w:pPr>
        <w:jc w:val="both"/>
        <w:ind w:left="660" w:right="20" w:firstLine="644"/>
        <w:spacing w:after="0" w:line="261" w:lineRule="auto"/>
        <w:tabs>
          <w:tab w:leader="none" w:pos="1559" w:val="left"/>
        </w:tabs>
        <w:numPr>
          <w:ilvl w:val="0"/>
          <w:numId w:val="4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determine that such shares of Common Stock and the Plan are exempt from such registration or that no action of the kind referred to in (b)(ii) above needs to be taken; and the Company shall not be obligated by virtue of any terms and conditions of any Award or any provision of the Plan to sell or issue shares of Common Stock in violation of the Securities Act of 1933 or the law of any government having jurisdiction thereof.</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Any such postponement shall not extend the term of an Award and neither the Company nor its Directors or officers shall have any obligation or liability to a Participant, the Participant’s successor or any other person with respect to any shares of Common Stock as to which the Award shall lapse because of such postponement.</w:t>
      </w:r>
    </w:p>
    <w:p>
      <w:pPr>
        <w:spacing w:after="0" w:line="176"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12.</w:t>
      </w:r>
      <w:r>
        <w:rPr>
          <w:sz w:val="20"/>
          <w:szCs w:val="20"/>
          <w:color w:val="auto"/>
        </w:rPr>
        <w:tab/>
      </w:r>
      <w:r>
        <w:rPr>
          <w:rFonts w:ascii="Times New Roman" w:cs="Times New Roman" w:eastAsia="Times New Roman" w:hAnsi="Times New Roman"/>
          <w:sz w:val="17"/>
          <w:szCs w:val="17"/>
          <w:color w:val="auto"/>
        </w:rPr>
        <w:t>Nontransferability.</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Awards granted under the Plan, and any rights and privileges pertaining thereto, may not be transferred, assigned, pledged or hypothecated in any manner, or be subject to execution, attachment or similar process, by operation of law or otherwise, other than by will or by the laws of descent and distribution.</w:t>
      </w:r>
    </w:p>
    <w:p>
      <w:pPr>
        <w:spacing w:after="0" w:line="162"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13.</w:t>
      </w:r>
      <w:r>
        <w:rPr>
          <w:sz w:val="20"/>
          <w:szCs w:val="20"/>
          <w:color w:val="auto"/>
        </w:rPr>
        <w:tab/>
      </w:r>
      <w:r>
        <w:rPr>
          <w:rFonts w:ascii="Times New Roman" w:cs="Times New Roman" w:eastAsia="Times New Roman" w:hAnsi="Times New Roman"/>
          <w:sz w:val="18"/>
          <w:szCs w:val="18"/>
          <w:color w:val="auto"/>
        </w:rPr>
        <w:t>Delivery of Shares.</w:t>
      </w:r>
    </w:p>
    <w:p>
      <w:pPr>
        <w:spacing w:after="0" w:line="225"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Shares of Common Stock issued pursuant to a Stock Award, the exercise of a Stock or SAR or the settlement of a Stock Unit Award shall be represented by stock certificates or on a non-certificated basis, with the ownership of such shares by the Participant evidenced solely by book entry in the records of the Company’s transfer agent; provided, however, that upon the written request of the Participant, the Company shall issue, in the name of the Participant, stock certificates representing such shares of Common Stock. Notwithstanding the foregoing, shares granted pursuant to a Stock Award shall be held by the Secretary of the Company until such time as the shares are forfeited or settled.</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52" w:name="page53"/>
    <w:bookmarkEnd w:id="52"/>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14.</w:t>
      </w:r>
      <w:r>
        <w:rPr>
          <w:sz w:val="20"/>
          <w:szCs w:val="20"/>
          <w:color w:val="auto"/>
        </w:rPr>
        <w:tab/>
      </w:r>
      <w:r>
        <w:rPr>
          <w:rFonts w:ascii="Times New Roman" w:cs="Times New Roman" w:eastAsia="Times New Roman" w:hAnsi="Times New Roman"/>
          <w:sz w:val="17"/>
          <w:szCs w:val="17"/>
          <w:color w:val="auto"/>
        </w:rPr>
        <w:t>Termination or Amendment of Plan and Award Agreements.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14.1 </w:t>
      </w:r>
      <w:r>
        <w:rPr>
          <w:rFonts w:ascii="Times New Roman" w:cs="Times New Roman" w:eastAsia="Times New Roman" w:hAnsi="Times New Roman"/>
          <w:sz w:val="18"/>
          <w:szCs w:val="18"/>
          <w:u w:val="single" w:color="auto"/>
          <w:color w:val="auto"/>
        </w:rPr>
        <w:t>Termination or Amendment of Plan</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660" w:firstLine="644"/>
        <w:spacing w:after="0" w:line="255" w:lineRule="auto"/>
        <w:tabs>
          <w:tab w:leader="none" w:pos="1566" w:val="left"/>
        </w:tabs>
        <w:numPr>
          <w:ilvl w:val="0"/>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Except as described in Section 14.3 below, the Board may terminate, suspend, or amend the Plan, in whole or in part, from time to time, without the approval of the stockholders of the Company, unless such approval is required by applicable law, regulation or rule of any stock exchange on which the shares of Common Stock are listed. No amendment or termination of the Plan shall adversely affect the right of any Participant under any outstanding Award in any material way without the written consent of the Participant, unless such amendment or termination is required by applicable law, regulation or rule of any stock exchange on which the shares of Common Stock are listed. Subject to the foregoing, the Committee may correct any defect or supply an omission or reconcile any inconsistency in the Plan or in any Award granted hereunder in the manner and to the extent it shall deem desirable, in its sole discretion, to effectuate the Plan.</w:t>
      </w:r>
    </w:p>
    <w:p>
      <w:pPr>
        <w:spacing w:after="0" w:line="188" w:lineRule="exact"/>
        <w:rPr>
          <w:rFonts w:ascii="Times New Roman" w:cs="Times New Roman" w:eastAsia="Times New Roman" w:hAnsi="Times New Roman"/>
          <w:sz w:val="18"/>
          <w:szCs w:val="18"/>
          <w:color w:val="auto"/>
        </w:rPr>
      </w:pPr>
    </w:p>
    <w:p>
      <w:pPr>
        <w:ind w:left="660" w:right="20" w:firstLine="644"/>
        <w:spacing w:after="0" w:line="282" w:lineRule="auto"/>
        <w:tabs>
          <w:tab w:leader="none" w:pos="1566" w:val="left"/>
        </w:tabs>
        <w:numPr>
          <w:ilvl w:val="0"/>
          <w:numId w:val="4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Board shall have the authority to amend the Plan to the extent necessary or appropriate to comply with applicable law, regulation or accounting rules in order to permit Participants who are located outside of the United States to participate in the Plan.</w:t>
      </w:r>
    </w:p>
    <w:p>
      <w:pPr>
        <w:spacing w:after="0" w:line="16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14.2 </w:t>
      </w:r>
      <w:r>
        <w:rPr>
          <w:rFonts w:ascii="Times New Roman" w:cs="Times New Roman" w:eastAsia="Times New Roman" w:hAnsi="Times New Roman"/>
          <w:sz w:val="18"/>
          <w:szCs w:val="18"/>
          <w:u w:val="single" w:color="auto"/>
          <w:color w:val="auto"/>
        </w:rPr>
        <w:t>Amendment of Award Agreements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The Committee shall have the authority to amend any Award Agreement at any time; provided however, that no such amendment shall adversely affect the right of any Participant under any outstanding Award Agreement in any material way without the written consent of the Participant, unless such amendment is required by applicable law, regulation or rule of any stock exchange on which the shares of Common Stock are listed.</w:t>
      </w:r>
    </w:p>
    <w:p>
      <w:pPr>
        <w:spacing w:after="0" w:line="176"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14.3 </w:t>
      </w:r>
      <w:r>
        <w:rPr>
          <w:rFonts w:ascii="Times New Roman" w:cs="Times New Roman" w:eastAsia="Times New Roman" w:hAnsi="Times New Roman"/>
          <w:sz w:val="18"/>
          <w:szCs w:val="18"/>
          <w:u w:val="single" w:color="auto"/>
          <w:color w:val="auto"/>
        </w:rPr>
        <w:t>No Repricing of Stock Options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Notwithstanding the foregoing, and except as described in Section 4.3, there shall be no amendment to the Plan or any outstanding Stock Option Agreement or SAR Agreement that results in the repricing of Stock Options or SARs without stockholder approval. For this purpose, repricing includes (i) a reduction in the exercise price of the Stock Option or SARs or (ii) the cancellation of a Stock Option in exchange for cash, Stock Options or SARs with an exercise price less than the exercise price of the cancelled Options or SARs, other Awards or any other consideration provided by the Company, but does not include any adjustment described in Section 4.3.</w:t>
      </w:r>
    </w:p>
    <w:p>
      <w:pPr>
        <w:spacing w:after="0" w:line="183"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15.</w:t>
      </w:r>
      <w:r>
        <w:rPr>
          <w:sz w:val="20"/>
          <w:szCs w:val="20"/>
          <w:color w:val="auto"/>
        </w:rPr>
        <w:tab/>
      </w:r>
      <w:r>
        <w:rPr>
          <w:rFonts w:ascii="Times New Roman" w:cs="Times New Roman" w:eastAsia="Times New Roman" w:hAnsi="Times New Roman"/>
          <w:sz w:val="17"/>
          <w:szCs w:val="17"/>
          <w:color w:val="auto"/>
        </w:rPr>
        <w:t>No Contract of Employment.</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Neither the adoption of the Plan nor the grant of any Award under the Plan shall be deemed to obligate the Company or any Subsidiary to continue the employment or service of any Participant for any particular period, nor shall the granting of an Award constitute a request or consent to postpone the retirement date of any Participant.</w:t>
      </w:r>
    </w:p>
    <w:p>
      <w:pPr>
        <w:spacing w:after="0" w:line="176" w:lineRule="exact"/>
        <w:rPr>
          <w:sz w:val="20"/>
          <w:szCs w:val="20"/>
          <w:color w:val="auto"/>
        </w:rPr>
      </w:pPr>
    </w:p>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16.</w:t>
      </w:r>
      <w:r>
        <w:rPr>
          <w:sz w:val="20"/>
          <w:szCs w:val="20"/>
          <w:color w:val="auto"/>
        </w:rPr>
        <w:tab/>
      </w:r>
      <w:r>
        <w:rPr>
          <w:rFonts w:ascii="Times New Roman" w:cs="Times New Roman" w:eastAsia="Times New Roman" w:hAnsi="Times New Roman"/>
          <w:sz w:val="17"/>
          <w:szCs w:val="17"/>
          <w:color w:val="auto"/>
        </w:rPr>
        <w:t>Applicable Law.</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All questions pertaining to the validity, construction and administration of the Plan and all Awards granted under the Plan shall be determined in conformity with the laws of the State of Nevada, without regard to the conflict of law provisions of any state, and, in the case of Incentive Stock Options, Section 422 of the Code and regulations issued thereunder.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53" w:name="page54"/>
    <w:bookmarkEnd w:id="53"/>
    <w:p>
      <w:pPr>
        <w:spacing w:after="0"/>
        <w:tabs>
          <w:tab w:leader="none" w:pos="1280" w:val="left"/>
        </w:tabs>
        <w:rPr>
          <w:sz w:val="20"/>
          <w:szCs w:val="20"/>
          <w:color w:val="auto"/>
        </w:rPr>
      </w:pPr>
      <w:r>
        <w:rPr>
          <w:rFonts w:ascii="Times New Roman" w:cs="Times New Roman" w:eastAsia="Times New Roman" w:hAnsi="Times New Roman"/>
          <w:sz w:val="18"/>
          <w:szCs w:val="18"/>
          <w:color w:val="auto"/>
        </w:rPr>
        <w:t>Section 17.</w:t>
      </w:r>
      <w:r>
        <w:rPr>
          <w:sz w:val="20"/>
          <w:szCs w:val="20"/>
          <w:color w:val="auto"/>
        </w:rPr>
        <w:tab/>
      </w:r>
      <w:r>
        <w:rPr>
          <w:rFonts w:ascii="Times New Roman" w:cs="Times New Roman" w:eastAsia="Times New Roman" w:hAnsi="Times New Roman"/>
          <w:sz w:val="17"/>
          <w:szCs w:val="17"/>
          <w:color w:val="auto"/>
        </w:rPr>
        <w:t>Effective Date and Term of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17.1 </w:t>
      </w:r>
      <w:r>
        <w:rPr>
          <w:rFonts w:ascii="Times New Roman" w:cs="Times New Roman" w:eastAsia="Times New Roman" w:hAnsi="Times New Roman"/>
          <w:sz w:val="18"/>
          <w:szCs w:val="18"/>
          <w:u w:val="single" w:color="auto"/>
          <w:color w:val="auto"/>
        </w:rPr>
        <w:t>Effective Date</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ind w:left="1540" w:hanging="236"/>
        <w:spacing w:after="0"/>
        <w:tabs>
          <w:tab w:leader="none" w:pos="1540" w:val="left"/>
        </w:tabs>
        <w:numPr>
          <w:ilvl w:val="0"/>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Plan was initially approved by the stockholders of the Company on April 6, 2020.</w:t>
      </w:r>
    </w:p>
    <w:p>
      <w:pPr>
        <w:spacing w:after="0" w:line="225" w:lineRule="exact"/>
        <w:rPr>
          <w:rFonts w:ascii="Times New Roman" w:cs="Times New Roman" w:eastAsia="Times New Roman" w:hAnsi="Times New Roman"/>
          <w:sz w:val="18"/>
          <w:szCs w:val="18"/>
          <w:color w:val="auto"/>
        </w:rPr>
      </w:pPr>
    </w:p>
    <w:p>
      <w:pPr>
        <w:ind w:left="660" w:firstLine="644"/>
        <w:spacing w:after="0" w:line="282" w:lineRule="auto"/>
        <w:tabs>
          <w:tab w:leader="none" w:pos="1569" w:val="left"/>
        </w:tabs>
        <w:numPr>
          <w:ilvl w:val="0"/>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Plan as amended and restated has been adopted by the Board, and is effective, as of November 17, 2025, subject to the approval of the Plan by the stockholders of the Company.</w:t>
      </w:r>
    </w:p>
    <w:p>
      <w:pPr>
        <w:spacing w:after="0" w:line="161" w:lineRule="exact"/>
        <w:rPr>
          <w:rFonts w:ascii="Times New Roman" w:cs="Times New Roman" w:eastAsia="Times New Roman" w:hAnsi="Times New Roman"/>
          <w:sz w:val="18"/>
          <w:szCs w:val="18"/>
          <w:color w:val="auto"/>
        </w:rPr>
      </w:pPr>
    </w:p>
    <w:p>
      <w:pPr>
        <w:ind w:left="660" w:firstLine="644"/>
        <w:spacing w:after="0" w:line="282" w:lineRule="auto"/>
        <w:tabs>
          <w:tab w:leader="none" w:pos="1560" w:val="left"/>
        </w:tabs>
        <w:numPr>
          <w:ilvl w:val="0"/>
          <w:numId w:val="4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the event the Plan is not approved by stockholders of the Company within 12 months of the date hereof, the Plan as amended and restated shall have no effect, and the Plan as in effect prior to November 17, 2025 shall continue.</w:t>
      </w:r>
    </w:p>
    <w:p>
      <w:pPr>
        <w:spacing w:after="0" w:line="16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17.2 </w:t>
      </w:r>
      <w:r>
        <w:rPr>
          <w:rFonts w:ascii="Times New Roman" w:cs="Times New Roman" w:eastAsia="Times New Roman" w:hAnsi="Times New Roman"/>
          <w:sz w:val="18"/>
          <w:szCs w:val="18"/>
          <w:u w:val="single" w:color="auto"/>
          <w:color w:val="auto"/>
        </w:rPr>
        <w:t>Term of Plan</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Notwithstanding anything to the contrary contained herein, no Awards shall be granted on or after April 6, 2030.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B-12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54" w:name="page55"/>
    <w:bookmarkEnd w:id="54"/>
    <w:p>
      <w:pPr>
        <w:jc w:val="center"/>
        <w:spacing w:after="0"/>
        <w:rPr>
          <w:sz w:val="20"/>
          <w:szCs w:val="20"/>
          <w:color w:val="auto"/>
        </w:rPr>
      </w:pPr>
      <w:r>
        <w:rPr>
          <w:rFonts w:ascii="Times New Roman" w:cs="Times New Roman" w:eastAsia="Times New Roman" w:hAnsi="Times New Roman"/>
          <w:sz w:val="18"/>
          <w:szCs w:val="18"/>
          <w:b w:val="1"/>
          <w:bCs w:val="1"/>
          <w:color w:val="auto"/>
        </w:rPr>
        <w:t>CNS PHARMACEUTICALS, INC.</w:t>
      </w:r>
    </w:p>
    <w:p>
      <w:pPr>
        <w:spacing w:after="0" w:line="3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THIS PROXY IS SOLICITED BY THE BOARD OF DIRECTORS</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 THE ANNUAL MEETING OF STOCKHOLDERS TO BE HELD ON</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November 17, 2025</w:t>
      </w:r>
    </w:p>
    <w:p>
      <w:pPr>
        <w:spacing w:after="0" w:line="207"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undersigned stockholder acknowledges receipt of the Notice of Annual Meeting of Stockholders and the Proxy Statement, each dated October 20, 2025, and hereby appoints John Climaco and Christopher Downs, or either of them, proxies for the undersigned, each with full power of substitution, to vote all of the undersigned’s shares of common stock of CNS Pharmaceuticals, Inc. (the “Company”) at the Annual Meeting of Stockholders of the Company to be held virtually at https://westcoaststocktransfer.com/proxy-CNSP/, on November 17, 2025 at 12:00 P.M. Eastern Standard Time, and at any adjournments or postponements thereof.</w:t>
      </w:r>
    </w:p>
    <w:p>
      <w:pPr>
        <w:sectPr>
          <w:pgSz w:w="11900" w:h="16838" w:orient="portrait"/>
          <w:cols w:equalWidth="0" w:num="1">
            <w:col w:w="11240"/>
          </w:cols>
          <w:pgMar w:left="320" w:top="792" w:right="339" w:bottom="1440" w:gutter="0" w:footer="0" w:header="0"/>
        </w:sectPr>
      </w:pPr>
    </w:p>
    <w:p>
      <w:pPr>
        <w:spacing w:after="0" w:line="179" w:lineRule="exact"/>
        <w:rPr>
          <w:sz w:val="20"/>
          <w:szCs w:val="20"/>
          <w:color w:val="auto"/>
        </w:rPr>
      </w:pPr>
    </w:p>
    <w:p>
      <w:pPr>
        <w:ind w:left="240" w:hanging="171"/>
        <w:spacing w:after="0"/>
        <w:tabs>
          <w:tab w:leader="none" w:pos="240" w:val="left"/>
        </w:tabs>
        <w:numPr>
          <w:ilvl w:val="0"/>
          <w:numId w:val="46"/>
        </w:numPr>
        <w:rPr>
          <w:rFonts w:ascii="Times New Roman" w:cs="Times New Roman" w:eastAsia="Times New Roman" w:hAnsi="Times New Roman"/>
          <w:sz w:val="14"/>
          <w:szCs w:val="14"/>
          <w:color w:val="auto"/>
        </w:rPr>
      </w:pPr>
      <w:r>
        <w:rPr>
          <w:rFonts w:ascii="Wingdings" w:cs="Wingdings" w:eastAsia="Wingdings" w:hAnsi="Wingdings"/>
          <w:sz w:val="14"/>
          <w:szCs w:val="14"/>
          <w:b w:val="1"/>
          <w:bCs w:val="1"/>
          <w:color w:val="auto"/>
        </w:rPr>
        <w:t xml:space="preserve">o </w:t>
      </w:r>
      <w:r>
        <w:rPr>
          <w:rFonts w:ascii="Times New Roman" w:cs="Times New Roman" w:eastAsia="Times New Roman" w:hAnsi="Times New Roman"/>
          <w:sz w:val="14"/>
          <w:szCs w:val="14"/>
          <w:color w:val="auto"/>
        </w:rPr>
        <w:t>For All</w:t>
      </w:r>
    </w:p>
    <w:p>
      <w:pPr>
        <w:spacing w:after="0" w:line="17" w:lineRule="exact"/>
        <w:rPr>
          <w:rFonts w:ascii="Times New Roman" w:cs="Times New Roman" w:eastAsia="Times New Roman" w:hAnsi="Times New Roman"/>
          <w:sz w:val="14"/>
          <w:szCs w:val="14"/>
          <w:color w:val="auto"/>
        </w:rPr>
      </w:pPr>
    </w:p>
    <w:p>
      <w:pPr>
        <w:ind w:left="240" w:right="940"/>
        <w:spacing w:after="0" w:line="296" w:lineRule="auto"/>
        <w:rPr>
          <w:rFonts w:ascii="Times New Roman" w:cs="Times New Roman" w:eastAsia="Times New Roman" w:hAnsi="Times New Roman"/>
          <w:sz w:val="14"/>
          <w:szCs w:val="14"/>
          <w:color w:val="auto"/>
        </w:rPr>
      </w:pPr>
      <w:r>
        <w:rPr>
          <w:rFonts w:ascii="Wingdings" w:cs="Wingdings" w:eastAsia="Wingdings" w:hAnsi="Wingdings"/>
          <w:sz w:val="13"/>
          <w:szCs w:val="13"/>
          <w:b w:val="1"/>
          <w:bCs w:val="1"/>
          <w:color w:val="auto"/>
        </w:rPr>
        <w:t xml:space="preserve">o </w:t>
      </w:r>
      <w:r>
        <w:rPr>
          <w:rFonts w:ascii="Times New Roman" w:cs="Times New Roman" w:eastAsia="Times New Roman" w:hAnsi="Times New Roman"/>
          <w:sz w:val="13"/>
          <w:szCs w:val="13"/>
          <w:color w:val="auto"/>
        </w:rPr>
        <w:t>Withhold All</w:t>
      </w:r>
      <w:r>
        <w:rPr>
          <w:rFonts w:ascii="Wingdings" w:cs="Wingdings" w:eastAsia="Wingdings" w:hAnsi="Wingdings"/>
          <w:sz w:val="13"/>
          <w:szCs w:val="13"/>
          <w:b w:val="1"/>
          <w:bCs w:val="1"/>
          <w:color w:val="auto"/>
        </w:rPr>
        <w:t xml:space="preserve"> o </w:t>
      </w:r>
      <w:r>
        <w:rPr>
          <w:rFonts w:ascii="Times New Roman" w:cs="Times New Roman" w:eastAsia="Times New Roman" w:hAnsi="Times New Roman"/>
          <w:sz w:val="13"/>
          <w:szCs w:val="13"/>
          <w:color w:val="auto"/>
        </w:rPr>
        <w:t>For All Except</w:t>
      </w:r>
    </w:p>
    <w:p>
      <w:pPr>
        <w:spacing w:after="0" w:line="87" w:lineRule="exact"/>
        <w:rPr>
          <w:rFonts w:ascii="Times New Roman" w:cs="Times New Roman" w:eastAsia="Times New Roman" w:hAnsi="Times New Roman"/>
          <w:sz w:val="14"/>
          <w:szCs w:val="14"/>
          <w:color w:val="auto"/>
        </w:rPr>
      </w:pPr>
    </w:p>
    <w:p>
      <w:pPr>
        <w:ind w:left="240" w:hanging="171"/>
        <w:spacing w:after="0"/>
        <w:tabs>
          <w:tab w:leader="none" w:pos="240" w:val="left"/>
        </w:tabs>
        <w:numPr>
          <w:ilvl w:val="0"/>
          <w:numId w:val="46"/>
        </w:numPr>
        <w:rPr>
          <w:rFonts w:ascii="Times New Roman" w:cs="Times New Roman" w:eastAsia="Times New Roman" w:hAnsi="Times New Roman"/>
          <w:sz w:val="11"/>
          <w:szCs w:val="11"/>
          <w:color w:val="auto"/>
        </w:rPr>
      </w:pPr>
      <w:r>
        <w:rPr>
          <w:rFonts w:ascii="Wingdings" w:cs="Wingdings" w:eastAsia="Wingdings" w:hAnsi="Wingdings"/>
          <w:sz w:val="11"/>
          <w:szCs w:val="11"/>
          <w:b w:val="1"/>
          <w:bCs w:val="1"/>
          <w:color w:val="auto"/>
        </w:rPr>
        <w:t xml:space="preserve">o </w:t>
      </w:r>
      <w:r>
        <w:rPr>
          <w:rFonts w:ascii="Times New Roman" w:cs="Times New Roman" w:eastAsia="Times New Roman" w:hAnsi="Times New Roman"/>
          <w:sz w:val="11"/>
          <w:szCs w:val="11"/>
          <w:color w:val="auto"/>
        </w:rPr>
        <w:t>For</w:t>
      </w:r>
      <w:r>
        <w:rPr>
          <w:rFonts w:ascii="Wingdings" w:cs="Wingdings" w:eastAsia="Wingdings" w:hAnsi="Wingdings"/>
          <w:sz w:val="11"/>
          <w:szCs w:val="11"/>
          <w:b w:val="1"/>
          <w:bCs w:val="1"/>
          <w:color w:val="auto"/>
        </w:rPr>
        <w:t xml:space="preserve">  o </w:t>
      </w:r>
      <w:r>
        <w:rPr>
          <w:rFonts w:ascii="Times New Roman" w:cs="Times New Roman" w:eastAsia="Times New Roman" w:hAnsi="Times New Roman"/>
          <w:sz w:val="11"/>
          <w:szCs w:val="11"/>
          <w:color w:val="auto"/>
        </w:rPr>
        <w:t>Against</w:t>
      </w:r>
      <w:r>
        <w:rPr>
          <w:rFonts w:ascii="Wingdings" w:cs="Wingdings" w:eastAsia="Wingdings" w:hAnsi="Wingdings"/>
          <w:sz w:val="11"/>
          <w:szCs w:val="11"/>
          <w:b w:val="1"/>
          <w:bCs w:val="1"/>
          <w:color w:val="auto"/>
        </w:rPr>
        <w:t xml:space="preserve">  o </w:t>
      </w:r>
      <w:r>
        <w:rPr>
          <w:rFonts w:ascii="Times New Roman" w:cs="Times New Roman" w:eastAsia="Times New Roman" w:hAnsi="Times New Roman"/>
          <w:sz w:val="11"/>
          <w:szCs w:val="11"/>
          <w:color w:val="auto"/>
        </w:rPr>
        <w:t>Abstain</w:t>
      </w:r>
    </w:p>
    <w:p>
      <w:pPr>
        <w:spacing w:after="0" w:line="184" w:lineRule="exact"/>
        <w:rPr>
          <w:sz w:val="20"/>
          <w:szCs w:val="20"/>
          <w:color w:val="auto"/>
        </w:rPr>
      </w:pPr>
    </w:p>
    <w:tbl>
      <w:tblPr>
        <w:tblLayout w:type="fixed"/>
        <w:tblInd w:w="60" w:type="dxa"/>
        <w:tblCellMar>
          <w:top w:w="0" w:type="dxa"/>
          <w:left w:w="0" w:type="dxa"/>
          <w:bottom w:w="0" w:type="dxa"/>
          <w:right w:w="0" w:type="dxa"/>
        </w:tblCellMar>
      </w:tblPr>
      <w:tr>
        <w:trPr>
          <w:trHeight w:val="188"/>
        </w:trPr>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94"/>
              </w:rPr>
              <w:t>3.</w:t>
            </w:r>
          </w:p>
        </w:tc>
        <w:tc>
          <w:tcPr>
            <w:tcW w:w="260" w:type="dxa"/>
            <w:vAlign w:val="bottom"/>
          </w:tcPr>
          <w:p>
            <w:pPr>
              <w:ind w:left="40"/>
              <w:spacing w:after="0"/>
              <w:rPr>
                <w:sz w:val="20"/>
                <w:szCs w:val="20"/>
                <w:color w:val="auto"/>
              </w:rPr>
            </w:pPr>
            <w:r>
              <w:rPr>
                <w:rFonts w:ascii="Wingdings" w:cs="Wingdings" w:eastAsia="Wingdings" w:hAnsi="Wingdings"/>
                <w:sz w:val="14"/>
                <w:szCs w:val="14"/>
                <w:b w:val="1"/>
                <w:bCs w:val="1"/>
                <w:color w:val="auto"/>
              </w:rPr>
              <w:t>o</w:t>
            </w:r>
          </w:p>
        </w:tc>
        <w:tc>
          <w:tcPr>
            <w:tcW w:w="340" w:type="dxa"/>
            <w:vAlign w:val="bottom"/>
          </w:tcPr>
          <w:p>
            <w:pPr>
              <w:ind w:left="80"/>
              <w:spacing w:after="0"/>
              <w:rPr>
                <w:sz w:val="20"/>
                <w:szCs w:val="20"/>
                <w:color w:val="auto"/>
              </w:rPr>
            </w:pPr>
            <w:r>
              <w:rPr>
                <w:rFonts w:ascii="Times New Roman" w:cs="Times New Roman" w:eastAsia="Times New Roman" w:hAnsi="Times New Roman"/>
                <w:sz w:val="14"/>
                <w:szCs w:val="14"/>
                <w:color w:val="auto"/>
              </w:rPr>
              <w:t>For</w:t>
            </w:r>
          </w:p>
        </w:tc>
        <w:tc>
          <w:tcPr>
            <w:tcW w:w="800" w:type="dxa"/>
            <w:vAlign w:val="bottom"/>
          </w:tcPr>
          <w:p>
            <w:pPr>
              <w:ind w:left="60"/>
              <w:spacing w:after="0"/>
              <w:rPr>
                <w:sz w:val="20"/>
                <w:szCs w:val="20"/>
                <w:color w:val="auto"/>
              </w:rPr>
            </w:pPr>
            <w:r>
              <w:rPr>
                <w:rFonts w:ascii="Wingdings" w:cs="Wingdings" w:eastAsia="Wingdings" w:hAnsi="Wingdings"/>
                <w:sz w:val="14"/>
                <w:szCs w:val="14"/>
                <w:b w:val="1"/>
                <w:bCs w:val="1"/>
                <w:color w:val="auto"/>
              </w:rPr>
              <w:t xml:space="preserve">o </w:t>
            </w:r>
            <w:r>
              <w:rPr>
                <w:rFonts w:ascii="Times New Roman" w:cs="Times New Roman" w:eastAsia="Times New Roman" w:hAnsi="Times New Roman"/>
                <w:sz w:val="14"/>
                <w:szCs w:val="14"/>
                <w:color w:val="auto"/>
              </w:rPr>
              <w:t>Against</w:t>
            </w:r>
          </w:p>
        </w:tc>
        <w:tc>
          <w:tcPr>
            <w:tcW w:w="660" w:type="dxa"/>
            <w:vAlign w:val="bottom"/>
          </w:tcPr>
          <w:p>
            <w:pPr>
              <w:ind w:left="40"/>
              <w:spacing w:after="0"/>
              <w:rPr>
                <w:sz w:val="20"/>
                <w:szCs w:val="20"/>
                <w:color w:val="auto"/>
              </w:rPr>
            </w:pPr>
            <w:r>
              <w:rPr>
                <w:rFonts w:ascii="Wingdings" w:cs="Wingdings" w:eastAsia="Wingdings" w:hAnsi="Wingdings"/>
                <w:sz w:val="14"/>
                <w:szCs w:val="14"/>
                <w:b w:val="1"/>
                <w:bCs w:val="1"/>
                <w:color w:val="auto"/>
                <w:w w:val="85"/>
              </w:rPr>
              <w:t xml:space="preserve">o </w:t>
            </w:r>
            <w:r>
              <w:rPr>
                <w:rFonts w:ascii="Times New Roman" w:cs="Times New Roman" w:eastAsia="Times New Roman" w:hAnsi="Times New Roman"/>
                <w:sz w:val="14"/>
                <w:szCs w:val="14"/>
                <w:color w:val="auto"/>
                <w:w w:val="85"/>
              </w:rPr>
              <w:t>Abstain</w:t>
            </w:r>
          </w:p>
        </w:tc>
      </w:tr>
      <w:tr>
        <w:trPr>
          <w:trHeight w:val="311"/>
        </w:trPr>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94"/>
              </w:rPr>
              <w:t>4.</w:t>
            </w:r>
          </w:p>
        </w:tc>
        <w:tc>
          <w:tcPr>
            <w:tcW w:w="260" w:type="dxa"/>
            <w:vAlign w:val="bottom"/>
          </w:tcPr>
          <w:p>
            <w:pPr>
              <w:ind w:left="40"/>
              <w:spacing w:after="0"/>
              <w:rPr>
                <w:sz w:val="20"/>
                <w:szCs w:val="20"/>
                <w:color w:val="auto"/>
              </w:rPr>
            </w:pPr>
            <w:r>
              <w:rPr>
                <w:rFonts w:ascii="Wingdings" w:cs="Wingdings" w:eastAsia="Wingdings" w:hAnsi="Wingdings"/>
                <w:sz w:val="14"/>
                <w:szCs w:val="14"/>
                <w:b w:val="1"/>
                <w:bCs w:val="1"/>
                <w:color w:val="auto"/>
              </w:rPr>
              <w:t>o</w:t>
            </w:r>
          </w:p>
        </w:tc>
        <w:tc>
          <w:tcPr>
            <w:tcW w:w="340" w:type="dxa"/>
            <w:vAlign w:val="bottom"/>
          </w:tcPr>
          <w:p>
            <w:pPr>
              <w:ind w:left="80"/>
              <w:spacing w:after="0"/>
              <w:rPr>
                <w:sz w:val="20"/>
                <w:szCs w:val="20"/>
                <w:color w:val="auto"/>
              </w:rPr>
            </w:pPr>
            <w:r>
              <w:rPr>
                <w:rFonts w:ascii="Times New Roman" w:cs="Times New Roman" w:eastAsia="Times New Roman" w:hAnsi="Times New Roman"/>
                <w:sz w:val="14"/>
                <w:szCs w:val="14"/>
                <w:color w:val="auto"/>
              </w:rPr>
              <w:t>For</w:t>
            </w:r>
          </w:p>
        </w:tc>
        <w:tc>
          <w:tcPr>
            <w:tcW w:w="800" w:type="dxa"/>
            <w:vAlign w:val="bottom"/>
          </w:tcPr>
          <w:p>
            <w:pPr>
              <w:ind w:left="60"/>
              <w:spacing w:after="0"/>
              <w:rPr>
                <w:sz w:val="20"/>
                <w:szCs w:val="20"/>
                <w:color w:val="auto"/>
              </w:rPr>
            </w:pPr>
            <w:r>
              <w:rPr>
                <w:rFonts w:ascii="Wingdings" w:cs="Wingdings" w:eastAsia="Wingdings" w:hAnsi="Wingdings"/>
                <w:sz w:val="14"/>
                <w:szCs w:val="14"/>
                <w:b w:val="1"/>
                <w:bCs w:val="1"/>
                <w:color w:val="auto"/>
              </w:rPr>
              <w:t xml:space="preserve">o </w:t>
            </w:r>
            <w:r>
              <w:rPr>
                <w:rFonts w:ascii="Times New Roman" w:cs="Times New Roman" w:eastAsia="Times New Roman" w:hAnsi="Times New Roman"/>
                <w:sz w:val="14"/>
                <w:szCs w:val="14"/>
                <w:color w:val="auto"/>
              </w:rPr>
              <w:t>Against</w:t>
            </w:r>
          </w:p>
        </w:tc>
        <w:tc>
          <w:tcPr>
            <w:tcW w:w="660" w:type="dxa"/>
            <w:vAlign w:val="bottom"/>
          </w:tcPr>
          <w:p>
            <w:pPr>
              <w:ind w:left="40"/>
              <w:spacing w:after="0"/>
              <w:rPr>
                <w:sz w:val="20"/>
                <w:szCs w:val="20"/>
                <w:color w:val="auto"/>
              </w:rPr>
            </w:pPr>
            <w:r>
              <w:rPr>
                <w:rFonts w:ascii="Wingdings" w:cs="Wingdings" w:eastAsia="Wingdings" w:hAnsi="Wingdings"/>
                <w:sz w:val="14"/>
                <w:szCs w:val="14"/>
                <w:b w:val="1"/>
                <w:bCs w:val="1"/>
                <w:color w:val="auto"/>
                <w:w w:val="85"/>
              </w:rPr>
              <w:t xml:space="preserve">o </w:t>
            </w:r>
            <w:r>
              <w:rPr>
                <w:rFonts w:ascii="Times New Roman" w:cs="Times New Roman" w:eastAsia="Times New Roman" w:hAnsi="Times New Roman"/>
                <w:sz w:val="14"/>
                <w:szCs w:val="14"/>
                <w:color w:val="auto"/>
                <w:w w:val="85"/>
              </w:rPr>
              <w:t>Abstain</w:t>
            </w:r>
          </w:p>
        </w:tc>
      </w:tr>
      <w:tr>
        <w:trPr>
          <w:trHeight w:val="310"/>
        </w:trPr>
        <w:tc>
          <w:tcPr>
            <w:tcW w:w="140" w:type="dxa"/>
            <w:vAlign w:val="bottom"/>
          </w:tcPr>
          <w:p>
            <w:pPr>
              <w:jc w:val="right"/>
              <w:spacing w:after="0"/>
              <w:rPr>
                <w:sz w:val="20"/>
                <w:szCs w:val="20"/>
                <w:color w:val="auto"/>
              </w:rPr>
            </w:pPr>
            <w:r>
              <w:rPr>
                <w:rFonts w:ascii="Times New Roman" w:cs="Times New Roman" w:eastAsia="Times New Roman" w:hAnsi="Times New Roman"/>
                <w:sz w:val="14"/>
                <w:szCs w:val="14"/>
                <w:color w:val="auto"/>
                <w:w w:val="94"/>
              </w:rPr>
              <w:t>5.</w:t>
            </w:r>
          </w:p>
        </w:tc>
        <w:tc>
          <w:tcPr>
            <w:tcW w:w="260" w:type="dxa"/>
            <w:vAlign w:val="bottom"/>
          </w:tcPr>
          <w:p>
            <w:pPr>
              <w:ind w:left="40"/>
              <w:spacing w:after="0"/>
              <w:rPr>
                <w:sz w:val="20"/>
                <w:szCs w:val="20"/>
                <w:color w:val="auto"/>
              </w:rPr>
            </w:pPr>
            <w:r>
              <w:rPr>
                <w:rFonts w:ascii="Wingdings" w:cs="Wingdings" w:eastAsia="Wingdings" w:hAnsi="Wingdings"/>
                <w:sz w:val="14"/>
                <w:szCs w:val="14"/>
                <w:b w:val="1"/>
                <w:bCs w:val="1"/>
                <w:color w:val="auto"/>
              </w:rPr>
              <w:t>o</w:t>
            </w:r>
          </w:p>
        </w:tc>
        <w:tc>
          <w:tcPr>
            <w:tcW w:w="340" w:type="dxa"/>
            <w:vAlign w:val="bottom"/>
          </w:tcPr>
          <w:p>
            <w:pPr>
              <w:ind w:left="80"/>
              <w:spacing w:after="0"/>
              <w:rPr>
                <w:sz w:val="20"/>
                <w:szCs w:val="20"/>
                <w:color w:val="auto"/>
              </w:rPr>
            </w:pPr>
            <w:r>
              <w:rPr>
                <w:rFonts w:ascii="Times New Roman" w:cs="Times New Roman" w:eastAsia="Times New Roman" w:hAnsi="Times New Roman"/>
                <w:sz w:val="14"/>
                <w:szCs w:val="14"/>
                <w:color w:val="auto"/>
              </w:rPr>
              <w:t>For</w:t>
            </w:r>
          </w:p>
        </w:tc>
        <w:tc>
          <w:tcPr>
            <w:tcW w:w="800" w:type="dxa"/>
            <w:vAlign w:val="bottom"/>
          </w:tcPr>
          <w:p>
            <w:pPr>
              <w:ind w:left="60"/>
              <w:spacing w:after="0"/>
              <w:rPr>
                <w:sz w:val="20"/>
                <w:szCs w:val="20"/>
                <w:color w:val="auto"/>
              </w:rPr>
            </w:pPr>
            <w:r>
              <w:rPr>
                <w:rFonts w:ascii="Wingdings" w:cs="Wingdings" w:eastAsia="Wingdings" w:hAnsi="Wingdings"/>
                <w:sz w:val="14"/>
                <w:szCs w:val="14"/>
                <w:b w:val="1"/>
                <w:bCs w:val="1"/>
                <w:color w:val="auto"/>
              </w:rPr>
              <w:t xml:space="preserve">o </w:t>
            </w:r>
            <w:r>
              <w:rPr>
                <w:rFonts w:ascii="Times New Roman" w:cs="Times New Roman" w:eastAsia="Times New Roman" w:hAnsi="Times New Roman"/>
                <w:sz w:val="14"/>
                <w:szCs w:val="14"/>
                <w:color w:val="auto"/>
              </w:rPr>
              <w:t>Against</w:t>
            </w:r>
          </w:p>
        </w:tc>
        <w:tc>
          <w:tcPr>
            <w:tcW w:w="660" w:type="dxa"/>
            <w:vAlign w:val="bottom"/>
          </w:tcPr>
          <w:p>
            <w:pPr>
              <w:ind w:left="40"/>
              <w:spacing w:after="0"/>
              <w:rPr>
                <w:sz w:val="20"/>
                <w:szCs w:val="20"/>
                <w:color w:val="auto"/>
              </w:rPr>
            </w:pPr>
            <w:r>
              <w:rPr>
                <w:rFonts w:ascii="Wingdings" w:cs="Wingdings" w:eastAsia="Wingdings" w:hAnsi="Wingdings"/>
                <w:sz w:val="14"/>
                <w:szCs w:val="14"/>
                <w:b w:val="1"/>
                <w:bCs w:val="1"/>
                <w:color w:val="auto"/>
                <w:w w:val="85"/>
              </w:rPr>
              <w:t xml:space="preserve">o </w:t>
            </w:r>
            <w:r>
              <w:rPr>
                <w:rFonts w:ascii="Times New Roman" w:cs="Times New Roman" w:eastAsia="Times New Roman" w:hAnsi="Times New Roman"/>
                <w:sz w:val="14"/>
                <w:szCs w:val="14"/>
                <w:color w:val="auto"/>
                <w:w w:val="85"/>
              </w:rPr>
              <w:t>Abstain</w:t>
            </w:r>
          </w:p>
        </w:tc>
      </w:tr>
    </w:tbl>
    <w:p>
      <w:pPr>
        <w:spacing w:after="0" w:line="200" w:lineRule="exact"/>
        <w:rPr>
          <w:sz w:val="20"/>
          <w:szCs w:val="20"/>
          <w:color w:val="auto"/>
        </w:rPr>
      </w:pPr>
    </w:p>
    <w:p>
      <w:pPr>
        <w:spacing w:after="0" w:line="273" w:lineRule="exact"/>
        <w:rPr>
          <w:sz w:val="20"/>
          <w:szCs w:val="20"/>
          <w:color w:val="auto"/>
        </w:rPr>
      </w:pPr>
    </w:p>
    <w:p>
      <w:pPr>
        <w:ind w:left="240" w:hanging="171"/>
        <w:spacing w:after="0"/>
        <w:tabs>
          <w:tab w:leader="none" w:pos="240" w:val="left"/>
        </w:tabs>
        <w:numPr>
          <w:ilvl w:val="0"/>
          <w:numId w:val="47"/>
        </w:numPr>
        <w:rPr>
          <w:rFonts w:ascii="Times New Roman" w:cs="Times New Roman" w:eastAsia="Times New Roman" w:hAnsi="Times New Roman"/>
          <w:sz w:val="11"/>
          <w:szCs w:val="11"/>
          <w:color w:val="auto"/>
        </w:rPr>
      </w:pPr>
      <w:r>
        <w:rPr>
          <w:rFonts w:ascii="Wingdings" w:cs="Wingdings" w:eastAsia="Wingdings" w:hAnsi="Wingdings"/>
          <w:sz w:val="11"/>
          <w:szCs w:val="11"/>
          <w:b w:val="1"/>
          <w:bCs w:val="1"/>
          <w:color w:val="auto"/>
        </w:rPr>
        <w:t xml:space="preserve">o </w:t>
      </w:r>
      <w:r>
        <w:rPr>
          <w:rFonts w:ascii="Times New Roman" w:cs="Times New Roman" w:eastAsia="Times New Roman" w:hAnsi="Times New Roman"/>
          <w:sz w:val="11"/>
          <w:szCs w:val="11"/>
          <w:color w:val="auto"/>
        </w:rPr>
        <w:t>For</w:t>
      </w:r>
      <w:r>
        <w:rPr>
          <w:rFonts w:ascii="Wingdings" w:cs="Wingdings" w:eastAsia="Wingdings" w:hAnsi="Wingdings"/>
          <w:sz w:val="11"/>
          <w:szCs w:val="11"/>
          <w:b w:val="1"/>
          <w:bCs w:val="1"/>
          <w:color w:val="auto"/>
        </w:rPr>
        <w:t xml:space="preserve">  o </w:t>
      </w:r>
      <w:r>
        <w:rPr>
          <w:rFonts w:ascii="Times New Roman" w:cs="Times New Roman" w:eastAsia="Times New Roman" w:hAnsi="Times New Roman"/>
          <w:sz w:val="11"/>
          <w:szCs w:val="11"/>
          <w:color w:val="auto"/>
        </w:rPr>
        <w:t>Against</w:t>
      </w:r>
      <w:r>
        <w:rPr>
          <w:rFonts w:ascii="Wingdings" w:cs="Wingdings" w:eastAsia="Wingdings" w:hAnsi="Wingdings"/>
          <w:sz w:val="11"/>
          <w:szCs w:val="11"/>
          <w:b w:val="1"/>
          <w:bCs w:val="1"/>
          <w:color w:val="auto"/>
        </w:rPr>
        <w:t xml:space="preserve">  o </w:t>
      </w:r>
      <w:r>
        <w:rPr>
          <w:rFonts w:ascii="Times New Roman" w:cs="Times New Roman" w:eastAsia="Times New Roman" w:hAnsi="Times New Roman"/>
          <w:sz w:val="11"/>
          <w:szCs w:val="11"/>
          <w:color w:val="auto"/>
        </w:rPr>
        <w:t>Abstain</w:t>
      </w:r>
    </w:p>
    <w:p>
      <w:pPr>
        <w:spacing w:after="0" w:line="319" w:lineRule="exact"/>
        <w:rPr>
          <w:rFonts w:ascii="Times New Roman" w:cs="Times New Roman" w:eastAsia="Times New Roman" w:hAnsi="Times New Roman"/>
          <w:sz w:val="11"/>
          <w:szCs w:val="11"/>
          <w:color w:val="auto"/>
        </w:rPr>
      </w:pPr>
    </w:p>
    <w:p>
      <w:pPr>
        <w:ind w:left="240" w:hanging="171"/>
        <w:spacing w:after="0"/>
        <w:tabs>
          <w:tab w:leader="none" w:pos="240" w:val="left"/>
        </w:tabs>
        <w:numPr>
          <w:ilvl w:val="0"/>
          <w:numId w:val="47"/>
        </w:numPr>
        <w:rPr>
          <w:rFonts w:ascii="Times New Roman" w:cs="Times New Roman" w:eastAsia="Times New Roman" w:hAnsi="Times New Roman"/>
          <w:sz w:val="11"/>
          <w:szCs w:val="11"/>
          <w:color w:val="auto"/>
        </w:rPr>
      </w:pPr>
      <w:r>
        <w:rPr>
          <w:rFonts w:ascii="Wingdings" w:cs="Wingdings" w:eastAsia="Wingdings" w:hAnsi="Wingdings"/>
          <w:sz w:val="11"/>
          <w:szCs w:val="11"/>
          <w:b w:val="1"/>
          <w:bCs w:val="1"/>
          <w:color w:val="auto"/>
        </w:rPr>
        <w:t xml:space="preserve">o </w:t>
      </w:r>
      <w:r>
        <w:rPr>
          <w:rFonts w:ascii="Times New Roman" w:cs="Times New Roman" w:eastAsia="Times New Roman" w:hAnsi="Times New Roman"/>
          <w:sz w:val="11"/>
          <w:szCs w:val="11"/>
          <w:color w:val="auto"/>
        </w:rPr>
        <w:t>For</w:t>
      </w:r>
      <w:r>
        <w:rPr>
          <w:rFonts w:ascii="Wingdings" w:cs="Wingdings" w:eastAsia="Wingdings" w:hAnsi="Wingdings"/>
          <w:sz w:val="11"/>
          <w:szCs w:val="11"/>
          <w:b w:val="1"/>
          <w:bCs w:val="1"/>
          <w:color w:val="auto"/>
        </w:rPr>
        <w:t xml:space="preserve">  o </w:t>
      </w:r>
      <w:r>
        <w:rPr>
          <w:rFonts w:ascii="Times New Roman" w:cs="Times New Roman" w:eastAsia="Times New Roman" w:hAnsi="Times New Roman"/>
          <w:sz w:val="11"/>
          <w:szCs w:val="11"/>
          <w:color w:val="auto"/>
        </w:rPr>
        <w:t>Against</w:t>
      </w:r>
      <w:r>
        <w:rPr>
          <w:rFonts w:ascii="Wingdings" w:cs="Wingdings" w:eastAsia="Wingdings" w:hAnsi="Wingdings"/>
          <w:sz w:val="11"/>
          <w:szCs w:val="11"/>
          <w:b w:val="1"/>
          <w:bCs w:val="1"/>
          <w:color w:val="auto"/>
        </w:rPr>
        <w:t xml:space="preserve">  o </w:t>
      </w:r>
      <w:r>
        <w:rPr>
          <w:rFonts w:ascii="Times New Roman" w:cs="Times New Roman" w:eastAsia="Times New Roman" w:hAnsi="Times New Roman"/>
          <w:sz w:val="11"/>
          <w:szCs w:val="11"/>
          <w:color w:val="auto"/>
        </w:rPr>
        <w:t>Abstain</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jc w:val="both"/>
        <w:spacing w:after="0" w:line="241" w:lineRule="auto"/>
        <w:rPr>
          <w:sz w:val="20"/>
          <w:szCs w:val="20"/>
          <w:color w:val="auto"/>
        </w:rPr>
      </w:pPr>
      <w:r>
        <w:rPr>
          <w:rFonts w:ascii="Times New Roman" w:cs="Times New Roman" w:eastAsia="Times New Roman" w:hAnsi="Times New Roman"/>
          <w:sz w:val="14"/>
          <w:szCs w:val="14"/>
          <w:color w:val="auto"/>
        </w:rPr>
        <w:t>The Board of Directors has nominated the following six persons for election as directors of the Company: John Climaco, Jerzy (George) Gumulka, Jeffry R. Keyes, Faith Charles, Bettina Cockroft and Amy Mahery. Their term will expire at the 2026 Annual Meeting of Stockholders, or until their successors are duly elected and qualified.</w:t>
      </w:r>
    </w:p>
    <w:p>
      <w:pPr>
        <w:spacing w:after="0" w:line="109"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To ratify the appointment of MaloneBailey, LLP as the Company’s independent registered public accounting firm for the year ending December 31, 2025.</w:t>
      </w:r>
    </w:p>
    <w:p>
      <w:pPr>
        <w:spacing w:after="0" w:line="150"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To vote on a non-binding, advisory resolution to approve executive compensation.</w:t>
      </w:r>
    </w:p>
    <w:p>
      <w:pPr>
        <w:spacing w:after="0" w:line="150"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To vote on a non-binding, advisory proposal on the frequency of holding future votes regarding executive compensation.</w:t>
      </w:r>
    </w:p>
    <w:p>
      <w:pPr>
        <w:spacing w:after="0" w:line="150" w:lineRule="exact"/>
        <w:rPr>
          <w:sz w:val="20"/>
          <w:szCs w:val="20"/>
          <w:color w:val="auto"/>
        </w:rPr>
      </w:pPr>
    </w:p>
    <w:p>
      <w:pPr>
        <w:jc w:val="both"/>
        <w:spacing w:after="0" w:line="242" w:lineRule="auto"/>
        <w:rPr>
          <w:sz w:val="20"/>
          <w:szCs w:val="20"/>
          <w:color w:val="auto"/>
        </w:rPr>
      </w:pPr>
      <w:r>
        <w:rPr>
          <w:rFonts w:ascii="Times New Roman" w:cs="Times New Roman" w:eastAsia="Times New Roman" w:hAnsi="Times New Roman"/>
          <w:sz w:val="14"/>
          <w:szCs w:val="14"/>
          <w:color w:val="auto"/>
        </w:rPr>
        <w:t>To approve an amendment to the Company’s Amended and Restated Articles of Incorporation to increase the total number of authorized shares of common stock from 25,000,000 shares to 300,000,000 shares and the total number of authorized shares of preferred stock from 416,667 shares to 5,000,000 shares.</w:t>
      </w:r>
    </w:p>
    <w:p>
      <w:pPr>
        <w:spacing w:after="0" w:line="26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4"/>
          <w:szCs w:val="14"/>
          <w:color w:val="auto"/>
        </w:rPr>
        <w:t>To approve amendments to the Company’s 2020 Stock Plan including an increase in the number of shares of common stock authorized for issuance under the Company’s 2020 Stock Plan.</w:t>
      </w:r>
    </w:p>
    <w:p>
      <w:pPr>
        <w:spacing w:after="0" w:line="9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4"/>
          <w:szCs w:val="14"/>
          <w:color w:val="auto"/>
        </w:rPr>
        <w:t>To authorize the adjournment of the Annual Meeting, if necessary, to solicit additional proxies if there are not sufficient votes at the time of the Annual Meeting or adjournment or postponement thereof to approve the above proposals.</w:t>
      </w:r>
    </w:p>
    <w:p>
      <w:pPr>
        <w:spacing w:after="0" w:line="167" w:lineRule="exact"/>
        <w:rPr>
          <w:sz w:val="20"/>
          <w:szCs w:val="20"/>
          <w:color w:val="auto"/>
        </w:rPr>
      </w:pPr>
    </w:p>
    <w:p>
      <w:pPr>
        <w:sectPr>
          <w:pgSz w:w="11900" w:h="16838" w:orient="portrait"/>
          <w:cols w:equalWidth="0" w:num="2">
            <w:col w:w="2260" w:space="120"/>
            <w:col w:w="8860"/>
          </w:cols>
          <w:pgMar w:left="320" w:top="792" w:right="339" w:bottom="1440" w:gutter="0" w:footer="0" w:header="0"/>
          <w:type w:val="continuous"/>
        </w:sectPr>
      </w:pPr>
    </w:p>
    <w:p>
      <w:pPr>
        <w:spacing w:after="0"/>
        <w:rPr>
          <w:sz w:val="20"/>
          <w:szCs w:val="20"/>
          <w:color w:val="auto"/>
        </w:rPr>
      </w:pPr>
      <w:r>
        <w:rPr>
          <w:rFonts w:ascii="Times New Roman" w:cs="Times New Roman" w:eastAsia="Times New Roman" w:hAnsi="Times New Roman"/>
          <w:sz w:val="18"/>
          <w:szCs w:val="18"/>
          <w:color w:val="auto"/>
        </w:rPr>
        <w:t>NOTE: In their discretion, upon such other matters as may properly come before the meeting.</w:t>
      </w:r>
    </w:p>
    <w:p>
      <w:pPr>
        <w:spacing w:after="0" w:line="225" w:lineRule="exact"/>
        <w:rPr>
          <w:sz w:val="20"/>
          <w:szCs w:val="20"/>
          <w:color w:val="auto"/>
        </w:rPr>
      </w:pPr>
    </w:p>
    <w:p>
      <w:pPr>
        <w:ind w:right="600"/>
        <w:spacing w:after="0" w:line="282" w:lineRule="auto"/>
        <w:rPr>
          <w:sz w:val="20"/>
          <w:szCs w:val="20"/>
          <w:color w:val="auto"/>
        </w:rPr>
      </w:pPr>
      <w:r>
        <w:rPr>
          <w:rFonts w:ascii="Times New Roman" w:cs="Times New Roman" w:eastAsia="Times New Roman" w:hAnsi="Times New Roman"/>
          <w:sz w:val="18"/>
          <w:szCs w:val="18"/>
          <w:color w:val="auto"/>
        </w:rPr>
        <w:t>The board of directors recommends a vote FOR the nominees and proposals above and if no specification is made, the shares will be voted for such nominees and proposals.</w:t>
      </w:r>
    </w:p>
    <w:p>
      <w:pPr>
        <w:spacing w:after="0" w:line="162" w:lineRule="exact"/>
        <w:rPr>
          <w:sz w:val="20"/>
          <w:szCs w:val="20"/>
          <w:color w:val="auto"/>
        </w:rPr>
      </w:pPr>
    </w:p>
    <w:p>
      <w:pPr>
        <w:ind w:left="5960"/>
        <w:spacing w:after="0"/>
        <w:rPr>
          <w:sz w:val="20"/>
          <w:szCs w:val="20"/>
          <w:color w:val="auto"/>
        </w:rPr>
      </w:pPr>
      <w:r>
        <w:rPr>
          <w:rFonts w:ascii="Times New Roman" w:cs="Times New Roman" w:eastAsia="Times New Roman" w:hAnsi="Times New Roman"/>
          <w:sz w:val="18"/>
          <w:szCs w:val="18"/>
          <w:color w:val="auto"/>
        </w:rPr>
        <w:t>Dated _______________________________________ 2025</w:t>
      </w:r>
    </w:p>
    <w:p>
      <w:pPr>
        <w:spacing w:after="0" w:line="200" w:lineRule="exact"/>
        <w:rPr>
          <w:sz w:val="20"/>
          <w:szCs w:val="20"/>
          <w:color w:val="auto"/>
        </w:rPr>
      </w:pPr>
    </w:p>
    <w:p>
      <w:pPr>
        <w:spacing w:after="0" w:line="255" w:lineRule="exact"/>
        <w:rPr>
          <w:sz w:val="20"/>
          <w:szCs w:val="20"/>
          <w:color w:val="auto"/>
        </w:rPr>
      </w:pPr>
    </w:p>
    <w:p>
      <w:pPr>
        <w:ind w:left="5960"/>
        <w:spacing w:after="0"/>
        <w:rPr>
          <w:sz w:val="20"/>
          <w:szCs w:val="20"/>
          <w:color w:val="auto"/>
        </w:rPr>
      </w:pPr>
      <w:r>
        <w:rPr>
          <w:rFonts w:ascii="Times New Roman" w:cs="Times New Roman" w:eastAsia="Times New Roman" w:hAnsi="Times New Roman"/>
          <w:sz w:val="18"/>
          <w:szCs w:val="18"/>
          <w:color w:val="auto"/>
        </w:rPr>
        <w:t>Stockholder’s Signature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3785235</wp:posOffset>
            </wp:positionH>
            <wp:positionV relativeFrom="paragraph">
              <wp:posOffset>-127635</wp:posOffset>
            </wp:positionV>
            <wp:extent cx="3351530" cy="825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3351530" cy="8255"/>
                    </a:xfrm>
                    <a:prstGeom prst="rect">
                      <a:avLst/>
                    </a:prstGeom>
                    <a:noFill/>
                  </pic:spPr>
                </pic:pic>
              </a:graphicData>
            </a:graphic>
          </wp:anchor>
        </w:drawing>
      </w:r>
    </w:p>
    <w:p>
      <w:pPr>
        <w:spacing w:after="0" w:line="200" w:lineRule="exact"/>
        <w:rPr>
          <w:sz w:val="20"/>
          <w:szCs w:val="20"/>
          <w:color w:val="auto"/>
        </w:rPr>
      </w:pPr>
    </w:p>
    <w:p>
      <w:pPr>
        <w:spacing w:after="0" w:line="235" w:lineRule="exact"/>
        <w:rPr>
          <w:sz w:val="20"/>
          <w:szCs w:val="20"/>
          <w:color w:val="auto"/>
        </w:rPr>
      </w:pPr>
    </w:p>
    <w:p>
      <w:pPr>
        <w:ind w:left="5960"/>
        <w:spacing w:after="0"/>
        <w:rPr>
          <w:sz w:val="20"/>
          <w:szCs w:val="20"/>
          <w:color w:val="auto"/>
        </w:rPr>
      </w:pPr>
      <w:r>
        <w:rPr>
          <w:rFonts w:ascii="Times New Roman" w:cs="Times New Roman" w:eastAsia="Times New Roman" w:hAnsi="Times New Roman"/>
          <w:sz w:val="18"/>
          <w:szCs w:val="18"/>
          <w:color w:val="auto"/>
        </w:rPr>
        <w:t>Stockholder’s Signature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3785235</wp:posOffset>
            </wp:positionH>
            <wp:positionV relativeFrom="paragraph">
              <wp:posOffset>-127635</wp:posOffset>
            </wp:positionV>
            <wp:extent cx="3351530" cy="889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3351530" cy="8890"/>
                    </a:xfrm>
                    <a:prstGeom prst="rect">
                      <a:avLst/>
                    </a:prstGeom>
                    <a:noFill/>
                  </pic:spPr>
                </pic:pic>
              </a:graphicData>
            </a:graphic>
          </wp:anchor>
        </w:drawing>
      </w:r>
    </w:p>
    <w:p>
      <w:pPr>
        <w:spacing w:after="0" w:line="20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Signature should agree with name printed hereon. If stock is held in the name of more than one person, EACH joint owner should sign. Executors, administrators, trustees, guardians, and attorneys should indicate the capacity in which they sign. Attorneys should submit powers of attorney.</w:t>
      </w:r>
    </w:p>
    <w:p>
      <w:pPr>
        <w:spacing w:after="0" w:line="162"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PLEASE SIGN, DATE AND RETURN THE PROXY IN THE ENVELOPE ENCLOSED. THIS PROXY WILL BE VOTED IN THE MANNER DIRECTED HEREIN BY THE UNDERSIGNED STOCKHOLDER. IF NO DIRECTION IS MADE, THIS PROXY WILL BE VOTED FOR THE NOMINEES SET FORTH IN PROPOSAL 1, AND FOR THE PROPOSALS SET FORTH IN ITEMS 2-7. THIS PROXY WILL REVOKE ALL PRIOR PROXIES SIGNED BY YOU.</w:t>
      </w:r>
    </w:p>
    <w:p>
      <w:pPr>
        <w:spacing w:after="0" w:line="18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Important Notice Regarding the Availability of Proxy Materials</w:t>
      </w:r>
    </w:p>
    <w:p>
      <w:pPr>
        <w:spacing w:after="0" w:line="2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for the Annual Stockholder Meeting to be Held on November 17, 2025:</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Electronic Copies of the Proxy Statement and our 2024 Annual Report on Form 10-K are available at</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http://icomproxy.com/cnsp</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485775</wp:posOffset>
            </wp:positionV>
            <wp:extent cx="7132320" cy="88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1240"/>
      </w:cols>
      <w:pgMar w:left="320" w:top="792" w:right="339"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0"/>
    <w:family w:val="auto"/>
    <w:pitch w:val="variable"/>
    <w:sig w:usb0="00000000" w:usb1="00000000" w:usb2="00000000" w:usb3="00000000" w:csb0="80000000"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75A2A8D4"/>
    <w:multiLevelType w:val="hybridMultilevel"/>
    <w:lvl w:ilvl="0">
      <w:lvlJc w:val="left"/>
      <w:lvlText w:val="o"/>
      <w:numFmt w:val="bullet"/>
      <w:start w:val="1"/>
    </w:lvl>
  </w:abstractNum>
  <w:abstractNum w:abstractNumId="1">
    <w:nsid w:val="8EDBDAB"/>
    <w:multiLevelType w:val="hybridMultilevel"/>
    <w:lvl w:ilvl="0">
      <w:lvlJc w:val="left"/>
      <w:lvlText w:val="x"/>
      <w:numFmt w:val="bullet"/>
      <w:start w:val="1"/>
    </w:lvl>
  </w:abstractNum>
  <w:abstractNum w:abstractNumId="2">
    <w:nsid w:val="79838CB2"/>
    <w:multiLevelType w:val="hybridMultilevel"/>
    <w:lvl w:ilvl="0">
      <w:lvlJc w:val="left"/>
      <w:lvlText w:val="o"/>
      <w:numFmt w:val="bullet"/>
      <w:start w:val="1"/>
    </w:lvl>
  </w:abstractNum>
  <w:abstractNum w:abstractNumId="3">
    <w:nsid w:val="4353D0CD"/>
    <w:multiLevelType w:val="hybridMultilevel"/>
    <w:lvl w:ilvl="0">
      <w:lvlJc w:val="left"/>
      <w:lvlText w:val="%1."/>
      <w:numFmt w:val="decimal"/>
      <w:start w:val="1"/>
    </w:lvl>
  </w:abstractNum>
  <w:abstractNum w:abstractNumId="4">
    <w:nsid w:val="B03E0C6"/>
    <w:multiLevelType w:val="hybridMultilevel"/>
    <w:lvl w:ilvl="0">
      <w:lvlJc w:val="left"/>
      <w:lvlText w:val="%1."/>
      <w:numFmt w:val="decimal"/>
      <w:start w:val="1"/>
    </w:lvl>
  </w:abstractNum>
  <w:abstractNum w:abstractNumId="5">
    <w:nsid w:val="189A769B"/>
    <w:multiLevelType w:val="hybridMultilevel"/>
    <w:lvl w:ilvl="0">
      <w:lvlJc w:val="left"/>
      <w:lvlText w:val="%1."/>
      <w:numFmt w:val="decimal"/>
      <w:start w:val="1"/>
    </w:lvl>
  </w:abstractNum>
  <w:abstractNum w:abstractNumId="6">
    <w:nsid w:val="54E49EB4"/>
    <w:multiLevelType w:val="hybridMultilevel"/>
    <w:lvl w:ilvl="0">
      <w:lvlJc w:val="left"/>
      <w:lvlText w:val="%1."/>
      <w:numFmt w:val="decimal"/>
      <w:start w:val="1"/>
    </w:lvl>
  </w:abstractNum>
  <w:abstractNum w:abstractNumId="7">
    <w:nsid w:val="71F32454"/>
    <w:multiLevelType w:val="hybridMultilevel"/>
    <w:lvl w:ilvl="0">
      <w:lvlJc w:val="left"/>
      <w:lvlText w:val="%1."/>
      <w:numFmt w:val="decimal"/>
      <w:start w:val="1"/>
    </w:lvl>
  </w:abstractNum>
  <w:abstractNum w:abstractNumId="8">
    <w:nsid w:val="2CA88611"/>
    <w:multiLevelType w:val="hybridMultilevel"/>
    <w:lvl w:ilvl="0">
      <w:lvlJc w:val="left"/>
      <w:lvlText w:val="·"/>
      <w:numFmt w:val="bullet"/>
      <w:start w:val="1"/>
    </w:lvl>
  </w:abstractNum>
  <w:abstractNum w:abstractNumId="9">
    <w:nsid w:val="836C40E"/>
    <w:multiLevelType w:val="hybridMultilevel"/>
    <w:lvl w:ilvl="0">
      <w:lvlJc w:val="left"/>
      <w:lvlText w:val="*"/>
      <w:numFmt w:val="bullet"/>
      <w:start w:val="1"/>
    </w:lvl>
  </w:abstractNum>
  <w:abstractNum w:abstractNumId="10">
    <w:nsid w:val="2901D82"/>
    <w:multiLevelType w:val="hybridMultilevel"/>
    <w:lvl w:ilvl="0">
      <w:lvlJc w:val="left"/>
      <w:lvlText w:val="(%1)"/>
      <w:numFmt w:val="decimal"/>
      <w:start w:val="1"/>
    </w:lvl>
  </w:abstractNum>
  <w:abstractNum w:abstractNumId="11">
    <w:nsid w:val="3A95F874"/>
    <w:multiLevelType w:val="hybridMultilevel"/>
    <w:lvl w:ilvl="0">
      <w:lvlJc w:val="left"/>
      <w:lvlText w:val="(%1)"/>
      <w:numFmt w:val="decimal"/>
      <w:start w:val="1"/>
    </w:lvl>
  </w:abstractNum>
  <w:abstractNum w:abstractNumId="12">
    <w:nsid w:val="8138641"/>
    <w:multiLevelType w:val="hybridMultilevel"/>
    <w:lvl w:ilvl="0">
      <w:lvlJc w:val="left"/>
      <w:lvlText w:val="(%1)"/>
      <w:numFmt w:val="decimal"/>
      <w:start w:val="1"/>
    </w:lvl>
  </w:abstractNum>
  <w:abstractNum w:abstractNumId="13">
    <w:nsid w:val="1E7FF521"/>
    <w:multiLevelType w:val="hybridMultilevel"/>
    <w:lvl w:ilvl="0">
      <w:lvlJc w:val="left"/>
      <w:lvlText w:val="(%1)"/>
      <w:numFmt w:val="decimal"/>
      <w:start w:val="2"/>
    </w:lvl>
    <w:lvl w:ilvl="1">
      <w:lvlJc w:val="left"/>
      <w:lvlText w:val="·"/>
      <w:numFmt w:val="bullet"/>
      <w:start w:val="1"/>
    </w:lvl>
  </w:abstractNum>
  <w:abstractNum w:abstractNumId="14">
    <w:nsid w:val="7C3DBD3D"/>
    <w:multiLevelType w:val="hybridMultilevel"/>
    <w:lvl w:ilvl="0">
      <w:lvlJc w:val="left"/>
      <w:lvlText w:val="(%1)"/>
      <w:numFmt w:val="decimal"/>
      <w:start w:val="2"/>
    </w:lvl>
  </w:abstractNum>
  <w:abstractNum w:abstractNumId="15">
    <w:nsid w:val="737B8DDC"/>
    <w:multiLevelType w:val="hybridMultilevel"/>
    <w:lvl w:ilvl="0">
      <w:lvlJc w:val="left"/>
      <w:lvlText w:val="(%1)"/>
      <w:numFmt w:val="decimal"/>
      <w:start w:val="4"/>
    </w:lvl>
  </w:abstractNum>
  <w:abstractNum w:abstractNumId="16">
    <w:nsid w:val="6CEAF087"/>
    <w:multiLevelType w:val="hybridMultilevel"/>
    <w:lvl w:ilvl="0">
      <w:lvlJc w:val="left"/>
      <w:lvlText w:val="(%1)"/>
      <w:numFmt w:val="upperLetter"/>
      <w:start w:val="1"/>
    </w:lvl>
  </w:abstractNum>
  <w:abstractNum w:abstractNumId="17">
    <w:nsid w:val="22221A70"/>
    <w:multiLevelType w:val="hybridMultilevel"/>
    <w:lvl w:ilvl="0">
      <w:lvlJc w:val="left"/>
      <w:lvlText w:val="(%1)"/>
      <w:numFmt w:val="decimal"/>
      <w:start w:val="5"/>
    </w:lvl>
  </w:abstractNum>
  <w:abstractNum w:abstractNumId="18">
    <w:nsid w:val="4516DDE9"/>
    <w:multiLevelType w:val="hybridMultilevel"/>
    <w:lvl w:ilvl="0">
      <w:lvlJc w:val="left"/>
      <w:lvlText w:val="(%1)"/>
      <w:numFmt w:val="decimal"/>
      <w:start w:val="7"/>
    </w:lvl>
  </w:abstractNum>
  <w:abstractNum w:abstractNumId="19">
    <w:nsid w:val="3006C83E"/>
    <w:multiLevelType w:val="hybridMultilevel"/>
    <w:lvl w:ilvl="0">
      <w:lvlJc w:val="left"/>
      <w:lvlText w:val="(%1)"/>
      <w:numFmt w:val="decimal"/>
      <w:start w:val="1"/>
    </w:lvl>
  </w:abstractNum>
  <w:abstractNum w:abstractNumId="20">
    <w:nsid w:val="614FD4A1"/>
    <w:multiLevelType w:val="hybridMultilevel"/>
    <w:lvl w:ilvl="0">
      <w:lvlJc w:val="left"/>
      <w:lvlText w:val="(%1)"/>
      <w:numFmt w:val="decimal"/>
      <w:start w:val="1"/>
    </w:lvl>
  </w:abstractNum>
  <w:abstractNum w:abstractNumId="21">
    <w:nsid w:val="419AC241"/>
    <w:multiLevelType w:val="hybridMultilevel"/>
    <w:lvl w:ilvl="0">
      <w:lvlJc w:val="left"/>
      <w:lvlText w:val="%1."/>
      <w:numFmt w:val="decimal"/>
      <w:start w:val="1"/>
    </w:lvl>
  </w:abstractNum>
  <w:abstractNum w:abstractNumId="22">
    <w:nsid w:val="5577F8E1"/>
    <w:multiLevelType w:val="hybridMultilevel"/>
    <w:lvl w:ilvl="0">
      <w:lvlJc w:val="left"/>
      <w:lvlText w:val="%1."/>
      <w:numFmt w:val="decimal"/>
      <w:start w:val="2"/>
    </w:lvl>
  </w:abstractNum>
  <w:abstractNum w:abstractNumId="23">
    <w:nsid w:val="440BADFC"/>
    <w:multiLevelType w:val="hybridMultilevel"/>
    <w:lvl w:ilvl="0">
      <w:lvlJc w:val="left"/>
      <w:lvlText w:val="%1."/>
      <w:numFmt w:val="decimal"/>
      <w:start w:val="3"/>
    </w:lvl>
  </w:abstractNum>
  <w:abstractNum w:abstractNumId="24">
    <w:nsid w:val="5072367"/>
    <w:multiLevelType w:val="hybridMultilevel"/>
    <w:lvl w:ilvl="0">
      <w:lvlJc w:val="left"/>
      <w:lvlText w:val="(%1)"/>
      <w:numFmt w:val="lowerLetter"/>
      <w:start w:val="1"/>
    </w:lvl>
  </w:abstractNum>
  <w:abstractNum w:abstractNumId="25">
    <w:nsid w:val="3804823E"/>
    <w:multiLevelType w:val="hybridMultilevel"/>
    <w:lvl w:ilvl="0">
      <w:lvlJc w:val="left"/>
      <w:lvlText w:val="(%1)"/>
      <w:numFmt w:val="lowerLetter"/>
      <w:start w:val="2"/>
    </w:lvl>
  </w:abstractNum>
  <w:abstractNum w:abstractNumId="26">
    <w:nsid w:val="77465F01"/>
    <w:multiLevelType w:val="hybridMultilevel"/>
    <w:lvl w:ilvl="0">
      <w:lvlJc w:val="left"/>
      <w:lvlText w:val="(%1)"/>
      <w:numFmt w:val="lowerLetter"/>
      <w:start w:val="1"/>
    </w:lvl>
  </w:abstractNum>
  <w:abstractNum w:abstractNumId="27">
    <w:nsid w:val="7724C67E"/>
    <w:multiLevelType w:val="hybridMultilevel"/>
    <w:lvl w:ilvl="0">
      <w:lvlJc w:val="left"/>
      <w:lvlText w:val="(%1)"/>
      <w:numFmt w:val="lowerLetter"/>
      <w:start w:val="1"/>
    </w:lvl>
  </w:abstractNum>
  <w:abstractNum w:abstractNumId="28">
    <w:nsid w:val="5C482A97"/>
    <w:multiLevelType w:val="hybridMultilevel"/>
    <w:lvl w:ilvl="0">
      <w:lvlJc w:val="left"/>
      <w:lvlText w:val="(%1)"/>
      <w:numFmt w:val="lowerLetter"/>
      <w:start w:val="1"/>
    </w:lvl>
  </w:abstractNum>
  <w:abstractNum w:abstractNumId="29">
    <w:nsid w:val="2463B9EA"/>
    <w:multiLevelType w:val="hybridMultilevel"/>
    <w:lvl w:ilvl="0">
      <w:lvlJc w:val="left"/>
      <w:lvlText w:val="(%1)"/>
      <w:numFmt w:val="lowerLetter"/>
      <w:start w:val="1"/>
    </w:lvl>
  </w:abstractNum>
  <w:abstractNum w:abstractNumId="30">
    <w:nsid w:val="5E884ADC"/>
    <w:multiLevelType w:val="hybridMultilevel"/>
    <w:lvl w:ilvl="0">
      <w:lvlJc w:val="left"/>
      <w:lvlText w:val="(%1)"/>
      <w:numFmt w:val="lowerLetter"/>
      <w:start w:val="1"/>
    </w:lvl>
  </w:abstractNum>
  <w:abstractNum w:abstractNumId="31">
    <w:nsid w:val="51EAD36B"/>
    <w:multiLevelType w:val="hybridMultilevel"/>
    <w:lvl w:ilvl="0">
      <w:lvlJc w:val="left"/>
      <w:lvlText w:val="(%1)"/>
      <w:numFmt w:val="lowerLetter"/>
      <w:start w:val="1"/>
    </w:lvl>
  </w:abstractNum>
  <w:abstractNum w:abstractNumId="32">
    <w:nsid w:val="2D517796"/>
    <w:multiLevelType w:val="hybridMultilevel"/>
    <w:lvl w:ilvl="0">
      <w:lvlJc w:val="left"/>
      <w:lvlText w:val="(%1)"/>
      <w:numFmt w:val="lowerLetter"/>
      <w:start w:val="2"/>
    </w:lvl>
  </w:abstractNum>
  <w:abstractNum w:abstractNumId="33">
    <w:nsid w:val="580BD78F"/>
    <w:multiLevelType w:val="hybridMultilevel"/>
    <w:lvl w:ilvl="0">
      <w:lvlJc w:val="left"/>
      <w:lvlText w:val="(%1)"/>
      <w:numFmt w:val="lowerLetter"/>
      <w:start w:val="1"/>
    </w:lvl>
  </w:abstractNum>
  <w:abstractNum w:abstractNumId="34">
    <w:nsid w:val="153EA438"/>
    <w:multiLevelType w:val="hybridMultilevel"/>
    <w:lvl w:ilvl="0">
      <w:lvlJc w:val="left"/>
      <w:lvlText w:val="(%1)"/>
      <w:numFmt w:val="lowerLetter"/>
      <w:start w:val="1"/>
    </w:lvl>
  </w:abstractNum>
  <w:abstractNum w:abstractNumId="35">
    <w:nsid w:val="3855585C"/>
    <w:multiLevelType w:val="hybridMultilevel"/>
    <w:lvl w:ilvl="0">
      <w:lvlJc w:val="left"/>
      <w:lvlText w:val="(%1)"/>
      <w:numFmt w:val="lowerLetter"/>
      <w:start w:val="1"/>
    </w:lvl>
  </w:abstractNum>
  <w:abstractNum w:abstractNumId="36">
    <w:nsid w:val="70A64E2A"/>
    <w:multiLevelType w:val="hybridMultilevel"/>
    <w:lvl w:ilvl="0">
      <w:lvlJc w:val="left"/>
      <w:lvlText w:val="%1"/>
      <w:numFmt w:val="lowerLetter"/>
      <w:start w:val="1"/>
    </w:lvl>
    <w:lvl w:ilvl="1">
      <w:lvlJc w:val="left"/>
      <w:lvlText w:val="(%2)"/>
      <w:numFmt w:val="lowerLetter"/>
      <w:start w:val="1"/>
    </w:lvl>
  </w:abstractNum>
  <w:abstractNum w:abstractNumId="37">
    <w:nsid w:val="6A2342EC"/>
    <w:multiLevelType w:val="hybridMultilevel"/>
    <w:lvl w:ilvl="0">
      <w:lvlJc w:val="left"/>
      <w:lvlText w:val="(%1)"/>
      <w:numFmt w:val="lowerLetter"/>
      <w:start w:val="35"/>
    </w:lvl>
    <w:lvl w:ilvl="1">
      <w:lvlJc w:val="left"/>
      <w:lvlText w:val="%2"/>
      <w:numFmt w:val="lowerLetter"/>
      <w:start w:val="1"/>
    </w:lvl>
  </w:abstractNum>
  <w:abstractNum w:abstractNumId="38">
    <w:nsid w:val="2A487CB0"/>
    <w:multiLevelType w:val="hybridMultilevel"/>
    <w:lvl w:ilvl="0">
      <w:lvlJc w:val="left"/>
      <w:lvlText w:val="(%1)"/>
      <w:numFmt w:val="lowerLetter"/>
      <w:start w:val="1"/>
    </w:lvl>
  </w:abstractNum>
  <w:abstractNum w:abstractNumId="39">
    <w:nsid w:val="1D4ED43B"/>
    <w:multiLevelType w:val="hybridMultilevel"/>
    <w:lvl w:ilvl="0">
      <w:lvlJc w:val="left"/>
      <w:lvlText w:val="(%1)"/>
      <w:numFmt w:val="lowerLetter"/>
      <w:start w:val="1"/>
    </w:lvl>
  </w:abstractNum>
  <w:abstractNum w:abstractNumId="40">
    <w:nsid w:val="725A06FB"/>
    <w:multiLevelType w:val="hybridMultilevel"/>
    <w:lvl w:ilvl="0">
      <w:lvlJc w:val="left"/>
      <w:lvlText w:val="(%1)"/>
      <w:numFmt w:val="lowerLetter"/>
      <w:start w:val="1"/>
    </w:lvl>
  </w:abstractNum>
  <w:abstractNum w:abstractNumId="41">
    <w:nsid w:val="2CD89A32"/>
    <w:multiLevelType w:val="hybridMultilevel"/>
    <w:lvl w:ilvl="0">
      <w:lvlJc w:val="left"/>
      <w:lvlText w:val="(%1)"/>
      <w:numFmt w:val="lowerLetter"/>
      <w:start w:val="2"/>
    </w:lvl>
  </w:abstractNum>
  <w:abstractNum w:abstractNumId="42">
    <w:nsid w:val="57E4CCAF"/>
    <w:multiLevelType w:val="hybridMultilevel"/>
    <w:lvl w:ilvl="0">
      <w:lvlJc w:val="left"/>
      <w:lvlText w:val="(%1)"/>
      <w:numFmt w:val="lowerLetter"/>
      <w:start w:val="1"/>
    </w:lvl>
  </w:abstractNum>
  <w:abstractNum w:abstractNumId="43">
    <w:nsid w:val="7A6D8D3C"/>
    <w:multiLevelType w:val="hybridMultilevel"/>
    <w:lvl w:ilvl="0">
      <w:lvlJc w:val="left"/>
      <w:lvlText w:val="(%1)"/>
      <w:numFmt w:val="lowerLetter"/>
      <w:start w:val="1"/>
    </w:lvl>
  </w:abstractNum>
  <w:abstractNum w:abstractNumId="44">
    <w:nsid w:val="4B588F54"/>
    <w:multiLevelType w:val="hybridMultilevel"/>
    <w:lvl w:ilvl="0">
      <w:lvlJc w:val="left"/>
      <w:lvlText w:val="(%1)"/>
      <w:numFmt w:val="lowerLetter"/>
      <w:start w:val="1"/>
    </w:lvl>
  </w:abstractNum>
  <w:abstractNum w:abstractNumId="45">
    <w:nsid w:val="542289EC"/>
    <w:multiLevelType w:val="hybridMultilevel"/>
    <w:lvl w:ilvl="0">
      <w:lvlJc w:val="left"/>
      <w:lvlText w:val="%1."/>
      <w:numFmt w:val="decimal"/>
      <w:start w:val="1"/>
    </w:lvl>
  </w:abstractNum>
  <w:abstractNum w:abstractNumId="46">
    <w:nsid w:val="6DE91B18"/>
    <w:multiLevelType w:val="hybridMultilevel"/>
    <w:lvl w:ilvl="0">
      <w:lvlJc w:val="left"/>
      <w:lvlText w:val="%1."/>
      <w:numFmt w:val="decimal"/>
      <w:start w:val="6"/>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2025-10-10T15:36:59Z</dcterms:created>
  <dcterms:modified xsi:type="dcterms:W3CDTF">2025-10-10T15:36:59Z</dcterms:modified>
</cp:coreProperties>
</file>