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UNITED STATES</w:t>
      </w:r>
    </w:p>
    <w:p>
      <w:pPr>
        <w:spacing w:after="0" w:line="31"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SECURITIES AND EXCHANGE COMMISSION</w:t>
      </w:r>
    </w:p>
    <w:p>
      <w:pPr>
        <w:spacing w:after="0" w:line="9"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Washington, D.C. 20549</w:t>
      </w:r>
    </w:p>
    <w:p>
      <w:pPr>
        <w:spacing w:after="0" w:line="9" w:lineRule="exact"/>
        <w:rPr>
          <w:sz w:val="24"/>
          <w:szCs w:val="24"/>
          <w:color w:val="auto"/>
        </w:rPr>
      </w:pPr>
    </w:p>
    <w:p>
      <w:pPr>
        <w:ind w:left="4400"/>
        <w:spacing w:after="0"/>
        <w:rPr>
          <w:sz w:val="20"/>
          <w:szCs w:val="20"/>
          <w:color w:val="auto"/>
        </w:rPr>
      </w:pPr>
      <w:r>
        <w:rPr>
          <w:rFonts w:ascii="Times New Roman" w:cs="Times New Roman" w:eastAsia="Times New Roman" w:hAnsi="Times New Roman"/>
          <w:sz w:val="18"/>
          <w:szCs w:val="18"/>
          <w:color w:val="auto"/>
        </w:rPr>
        <w:t>___________________________</w:t>
      </w:r>
    </w:p>
    <w:p>
      <w:pPr>
        <w:spacing w:after="0" w:line="203"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FORM 8-K</w:t>
      </w:r>
    </w:p>
    <w:p>
      <w:pPr>
        <w:spacing w:after="0" w:line="225"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CURRENT REPORT</w:t>
      </w:r>
    </w:p>
    <w:p>
      <w:pPr>
        <w:spacing w:after="0" w:line="31"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Pursuant to Section 13 or 15(d) of the</w:t>
      </w:r>
    </w:p>
    <w:p>
      <w:pPr>
        <w:spacing w:after="0" w:line="9"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Securities Exchange Act of 1934</w:t>
      </w:r>
    </w:p>
    <w:p>
      <w:pPr>
        <w:spacing w:after="0" w:line="203"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7"/>
          <w:szCs w:val="17"/>
          <w:b w:val="1"/>
          <w:bCs w:val="1"/>
          <w:color w:val="auto"/>
        </w:rPr>
        <w:t>Date of Report (Date of earliest event reported): July 17, 2025</w:t>
      </w:r>
    </w:p>
    <w:p>
      <w:pPr>
        <w:spacing w:after="0" w:line="43" w:lineRule="exact"/>
        <w:rPr>
          <w:sz w:val="24"/>
          <w:szCs w:val="24"/>
          <w:color w:val="auto"/>
        </w:rPr>
      </w:pPr>
    </w:p>
    <w:p>
      <w:pPr>
        <w:ind w:left="4400"/>
        <w:spacing w:after="0"/>
        <w:rPr>
          <w:sz w:val="20"/>
          <w:szCs w:val="20"/>
          <w:color w:val="auto"/>
        </w:rPr>
      </w:pPr>
      <w:r>
        <w:rPr>
          <w:rFonts w:ascii="Times New Roman" w:cs="Times New Roman" w:eastAsia="Times New Roman" w:hAnsi="Times New Roman"/>
          <w:sz w:val="18"/>
          <w:szCs w:val="18"/>
          <w:color w:val="auto"/>
        </w:rPr>
        <w:t>___________________________</w:t>
      </w:r>
    </w:p>
    <w:p>
      <w:pPr>
        <w:spacing w:after="0" w:line="194"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22"/>
          <w:szCs w:val="22"/>
          <w:b w:val="1"/>
          <w:bCs w:val="1"/>
          <w:color w:val="auto"/>
        </w:rPr>
        <w:t>CNS Pharmaceuticals, Inc.</w:t>
      </w:r>
    </w:p>
    <w:p>
      <w:pPr>
        <w:spacing w:after="0" w:line="23"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(Exact name of registrant as specified in its charter)</w:t>
      </w:r>
    </w:p>
    <w:p>
      <w:pPr>
        <w:spacing w:after="0" w:line="7" w:lineRule="exact"/>
        <w:rPr>
          <w:sz w:val="24"/>
          <w:szCs w:val="24"/>
          <w:color w:val="auto"/>
        </w:rPr>
      </w:pPr>
    </w:p>
    <w:p>
      <w:pPr>
        <w:ind w:left="4400"/>
        <w:spacing w:after="0"/>
        <w:rPr>
          <w:sz w:val="20"/>
          <w:szCs w:val="20"/>
          <w:color w:val="auto"/>
        </w:rPr>
      </w:pPr>
      <w:r>
        <w:rPr>
          <w:rFonts w:ascii="Times New Roman" w:cs="Times New Roman" w:eastAsia="Times New Roman" w:hAnsi="Times New Roman"/>
          <w:sz w:val="18"/>
          <w:szCs w:val="18"/>
          <w:color w:val="auto"/>
        </w:rPr>
        <w:t>___________________________</w:t>
      </w:r>
    </w:p>
    <w:p>
      <w:pPr>
        <w:sectPr>
          <w:pgSz w:w="11900" w:h="16838" w:orient="portrait"/>
          <w:cols w:equalWidth="0" w:num="1">
            <w:col w:w="11240"/>
          </w:cols>
          <w:pgMar w:left="320" w:top="657" w:right="339" w:bottom="1440" w:gutter="0" w:footer="0" w:header="0"/>
        </w:sectPr>
      </w:pPr>
    </w:p>
    <w:p>
      <w:pPr>
        <w:spacing w:after="0" w:line="203" w:lineRule="exact"/>
        <w:rPr>
          <w:sz w:val="24"/>
          <w:szCs w:val="24"/>
          <w:color w:val="auto"/>
        </w:rPr>
      </w:pPr>
    </w:p>
    <w:p>
      <w:pPr>
        <w:jc w:val="center"/>
        <w:ind w:right="80"/>
        <w:spacing w:after="0"/>
        <w:rPr>
          <w:sz w:val="20"/>
          <w:szCs w:val="20"/>
          <w:color w:val="auto"/>
        </w:rPr>
      </w:pPr>
      <w:r>
        <w:rPr>
          <w:rFonts w:ascii="Times New Roman" w:cs="Times New Roman" w:eastAsia="Times New Roman" w:hAnsi="Times New Roman"/>
          <w:sz w:val="18"/>
          <w:szCs w:val="18"/>
          <w:b w:val="1"/>
          <w:bCs w:val="1"/>
          <w:color w:val="auto"/>
        </w:rPr>
        <w:t>Nevada</w:t>
      </w:r>
    </w:p>
    <w:p>
      <w:pPr>
        <w:spacing w:after="0" w:line="31" w:lineRule="exact"/>
        <w:rPr>
          <w:sz w:val="24"/>
          <w:szCs w:val="24"/>
          <w:color w:val="auto"/>
        </w:rPr>
      </w:pPr>
    </w:p>
    <w:p>
      <w:pPr>
        <w:jc w:val="center"/>
        <w:ind w:right="80"/>
        <w:spacing w:after="0"/>
        <w:rPr>
          <w:sz w:val="20"/>
          <w:szCs w:val="20"/>
          <w:color w:val="auto"/>
        </w:rPr>
      </w:pPr>
      <w:r>
        <w:rPr>
          <w:rFonts w:ascii="Times New Roman" w:cs="Times New Roman" w:eastAsia="Times New Roman" w:hAnsi="Times New Roman"/>
          <w:sz w:val="17"/>
          <w:szCs w:val="17"/>
          <w:color w:val="auto"/>
        </w:rPr>
        <w:t>(State or other jurisdiction of</w:t>
      </w:r>
    </w:p>
    <w:p>
      <w:pPr>
        <w:spacing w:after="0" w:line="20" w:lineRule="exact"/>
        <w:rPr>
          <w:sz w:val="24"/>
          <w:szCs w:val="24"/>
          <w:color w:val="auto"/>
        </w:rPr>
      </w:pPr>
      <w:r>
        <w:rPr>
          <w:sz w:val="24"/>
          <w:szCs w:val="24"/>
          <w:color w:val="auto"/>
        </w:rPr>
        <w:br w:type="column"/>
      </w:r>
    </w:p>
    <w:p>
      <w:pPr>
        <w:spacing w:after="0" w:line="183" w:lineRule="exact"/>
        <w:rPr>
          <w:sz w:val="24"/>
          <w:szCs w:val="24"/>
          <w:color w:val="auto"/>
        </w:rPr>
      </w:pPr>
    </w:p>
    <w:p>
      <w:pPr>
        <w:jc w:val="center"/>
        <w:ind w:right="680"/>
        <w:spacing w:after="0"/>
        <w:rPr>
          <w:sz w:val="20"/>
          <w:szCs w:val="20"/>
          <w:color w:val="auto"/>
        </w:rPr>
      </w:pPr>
      <w:r>
        <w:rPr>
          <w:rFonts w:ascii="Times New Roman" w:cs="Times New Roman" w:eastAsia="Times New Roman" w:hAnsi="Times New Roman"/>
          <w:sz w:val="18"/>
          <w:szCs w:val="18"/>
          <w:b w:val="1"/>
          <w:bCs w:val="1"/>
          <w:color w:val="auto"/>
        </w:rPr>
        <w:t>001-39126</w:t>
      </w:r>
    </w:p>
    <w:p>
      <w:pPr>
        <w:spacing w:after="0" w:line="31" w:lineRule="exact"/>
        <w:rPr>
          <w:sz w:val="24"/>
          <w:szCs w:val="24"/>
          <w:color w:val="auto"/>
        </w:rPr>
      </w:pPr>
    </w:p>
    <w:p>
      <w:pPr>
        <w:jc w:val="center"/>
        <w:ind w:right="680"/>
        <w:spacing w:after="0"/>
        <w:rPr>
          <w:sz w:val="20"/>
          <w:szCs w:val="20"/>
          <w:color w:val="auto"/>
        </w:rPr>
      </w:pPr>
      <w:r>
        <w:rPr>
          <w:rFonts w:ascii="Times New Roman" w:cs="Times New Roman" w:eastAsia="Times New Roman" w:hAnsi="Times New Roman"/>
          <w:sz w:val="17"/>
          <w:szCs w:val="17"/>
          <w:color w:val="auto"/>
        </w:rPr>
        <w:t>(Commission File Number)</w:t>
      </w:r>
    </w:p>
    <w:p>
      <w:pPr>
        <w:spacing w:after="0" w:line="20" w:lineRule="exact"/>
        <w:rPr>
          <w:sz w:val="24"/>
          <w:szCs w:val="24"/>
          <w:color w:val="auto"/>
        </w:rPr>
      </w:pPr>
      <w:r>
        <w:rPr>
          <w:sz w:val="24"/>
          <w:szCs w:val="24"/>
          <w:color w:val="auto"/>
        </w:rPr>
        <w:br w:type="column"/>
      </w:r>
    </w:p>
    <w:p>
      <w:pPr>
        <w:spacing w:after="0" w:line="183" w:lineRule="exact"/>
        <w:rPr>
          <w:sz w:val="24"/>
          <w:szCs w:val="24"/>
          <w:color w:val="auto"/>
        </w:rPr>
      </w:pPr>
    </w:p>
    <w:p>
      <w:pPr>
        <w:jc w:val="center"/>
        <w:ind w:right="580"/>
        <w:spacing w:after="0"/>
        <w:rPr>
          <w:sz w:val="20"/>
          <w:szCs w:val="20"/>
          <w:color w:val="auto"/>
        </w:rPr>
      </w:pPr>
      <w:r>
        <w:rPr>
          <w:rFonts w:ascii="Times New Roman" w:cs="Times New Roman" w:eastAsia="Times New Roman" w:hAnsi="Times New Roman"/>
          <w:sz w:val="18"/>
          <w:szCs w:val="18"/>
          <w:b w:val="1"/>
          <w:bCs w:val="1"/>
          <w:color w:val="auto"/>
        </w:rPr>
        <w:t>82-2318545</w:t>
      </w:r>
    </w:p>
    <w:p>
      <w:pPr>
        <w:spacing w:after="0" w:line="31" w:lineRule="exact"/>
        <w:rPr>
          <w:sz w:val="24"/>
          <w:szCs w:val="24"/>
          <w:color w:val="auto"/>
        </w:rPr>
      </w:pPr>
    </w:p>
    <w:p>
      <w:pPr>
        <w:jc w:val="center"/>
        <w:ind w:right="600"/>
        <w:spacing w:after="0"/>
        <w:rPr>
          <w:sz w:val="20"/>
          <w:szCs w:val="20"/>
          <w:color w:val="auto"/>
        </w:rPr>
      </w:pPr>
      <w:r>
        <w:rPr>
          <w:rFonts w:ascii="Times New Roman" w:cs="Times New Roman" w:eastAsia="Times New Roman" w:hAnsi="Times New Roman"/>
          <w:sz w:val="18"/>
          <w:szCs w:val="18"/>
          <w:color w:val="auto"/>
        </w:rPr>
        <w:t>(I.R.S. Employer Identification No.)</w:t>
      </w:r>
    </w:p>
    <w:p>
      <w:pPr>
        <w:spacing w:after="0" w:line="9" w:lineRule="exact"/>
        <w:rPr>
          <w:sz w:val="24"/>
          <w:szCs w:val="24"/>
          <w:color w:val="auto"/>
        </w:rPr>
      </w:pPr>
    </w:p>
    <w:p>
      <w:pPr>
        <w:sectPr>
          <w:pgSz w:w="11900" w:h="16838" w:orient="portrait"/>
          <w:cols w:equalWidth="0" w:num="3">
            <w:col w:w="3920" w:space="720"/>
            <w:col w:w="2660" w:space="720"/>
            <w:col w:w="3220"/>
          </w:cols>
          <w:pgMar w:left="320" w:top="657" w:right="339" w:bottom="1440" w:gutter="0" w:footer="0" w:header="0"/>
          <w:type w:val="continuous"/>
        </w:sectPr>
      </w:pPr>
    </w:p>
    <w:p>
      <w:pPr>
        <w:ind w:left="840"/>
        <w:spacing w:after="0"/>
        <w:rPr>
          <w:sz w:val="20"/>
          <w:szCs w:val="20"/>
          <w:color w:val="auto"/>
        </w:rPr>
      </w:pPr>
      <w:r>
        <w:rPr>
          <w:rFonts w:ascii="Times New Roman" w:cs="Times New Roman" w:eastAsia="Times New Roman" w:hAnsi="Times New Roman"/>
          <w:sz w:val="18"/>
          <w:szCs w:val="18"/>
          <w:color w:val="auto"/>
        </w:rPr>
        <w:t>incorporation or organization)</w:t>
      </w:r>
    </w:p>
    <w:p>
      <w:pPr>
        <w:spacing w:after="0" w:line="203"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2100 West Loop South, Suite 900</w:t>
      </w:r>
    </w:p>
    <w:p>
      <w:pPr>
        <w:spacing w:after="0" w:line="31"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Houston, Texas 77027</w:t>
      </w:r>
    </w:p>
    <w:p>
      <w:pPr>
        <w:spacing w:after="0" w:line="9"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(Address of principal executive offices) (Zip Code)</w:t>
      </w:r>
    </w:p>
    <w:p>
      <w:pPr>
        <w:sectPr>
          <w:pgSz w:w="11900" w:h="16838" w:orient="portrait"/>
          <w:cols w:equalWidth="0" w:num="1">
            <w:col w:w="11240"/>
          </w:cols>
          <w:pgMar w:left="320" w:top="657" w:right="339" w:bottom="1440" w:gutter="0" w:footer="0" w:header="0"/>
          <w:type w:val="continuous"/>
        </w:sectPr>
      </w:pP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Registrant’s telephone number, including area code: (800) 946-9185</w:t>
      </w:r>
    </w:p>
    <w:p>
      <w:pPr>
        <w:spacing w:after="0" w:line="22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 Applicable</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(Former Name or Former Address, if Changed Since Last Report)</w:t>
      </w:r>
    </w:p>
    <w:p>
      <w:pPr>
        <w:spacing w:after="0" w:line="9" w:lineRule="exact"/>
        <w:rPr>
          <w:sz w:val="24"/>
          <w:szCs w:val="24"/>
          <w:color w:val="auto"/>
        </w:rPr>
      </w:pPr>
    </w:p>
    <w:p>
      <w:pPr>
        <w:ind w:left="4400"/>
        <w:spacing w:after="0"/>
        <w:rPr>
          <w:sz w:val="20"/>
          <w:szCs w:val="20"/>
          <w:color w:val="auto"/>
        </w:rPr>
      </w:pPr>
      <w:r>
        <w:rPr>
          <w:rFonts w:ascii="Times New Roman" w:cs="Times New Roman" w:eastAsia="Times New Roman" w:hAnsi="Times New Roman"/>
          <w:sz w:val="18"/>
          <w:szCs w:val="18"/>
          <w:color w:val="auto"/>
        </w:rPr>
        <w:t>___________________________</w:t>
      </w:r>
    </w:p>
    <w:p>
      <w:pPr>
        <w:spacing w:after="0" w:line="207" w:lineRule="exact"/>
        <w:rPr>
          <w:sz w:val="24"/>
          <w:szCs w:val="24"/>
          <w:color w:val="auto"/>
        </w:rPr>
      </w:pPr>
    </w:p>
    <w:p>
      <w:pPr>
        <w:ind w:firstLine="324"/>
        <w:spacing w:after="0" w:line="282" w:lineRule="auto"/>
        <w:rPr>
          <w:sz w:val="20"/>
          <w:szCs w:val="20"/>
          <w:color w:val="auto"/>
        </w:rPr>
      </w:pPr>
      <w:r>
        <w:rPr>
          <w:rFonts w:ascii="Times New Roman" w:cs="Times New Roman" w:eastAsia="Times New Roman" w:hAnsi="Times New Roman"/>
          <w:sz w:val="18"/>
          <w:szCs w:val="18"/>
          <w:color w:val="auto"/>
        </w:rPr>
        <w:t>Check the appropriate box below if the Form 8-K filing is intended to simultaneously satisfy the filing obligation of the registrant under any of the following provisions (</w:t>
      </w:r>
      <w:r>
        <w:rPr>
          <w:rFonts w:ascii="Times New Roman" w:cs="Times New Roman" w:eastAsia="Times New Roman" w:hAnsi="Times New Roman"/>
          <w:sz w:val="18"/>
          <w:szCs w:val="18"/>
          <w:i w:val="1"/>
          <w:iCs w:val="1"/>
          <w:color w:val="auto"/>
        </w:rPr>
        <w:t>see</w:t>
      </w:r>
      <w:r>
        <w:rPr>
          <w:rFonts w:ascii="Times New Roman" w:cs="Times New Roman" w:eastAsia="Times New Roman" w:hAnsi="Times New Roman"/>
          <w:sz w:val="18"/>
          <w:szCs w:val="18"/>
          <w:color w:val="auto"/>
        </w:rPr>
        <w:t xml:space="preserve"> General Instruction A.2. below):</w:t>
      </w:r>
    </w:p>
    <w:p>
      <w:pPr>
        <w:spacing w:after="0" w:line="162" w:lineRule="exact"/>
        <w:rPr>
          <w:sz w:val="24"/>
          <w:szCs w:val="24"/>
          <w:color w:val="auto"/>
        </w:rPr>
      </w:pPr>
    </w:p>
    <w:p>
      <w:pPr>
        <w:ind w:left="840" w:hanging="378"/>
        <w:spacing w:after="0"/>
        <w:tabs>
          <w:tab w:leader="none" w:pos="84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Written communications pursuant to Rule 425 under the Securities Act (17 CFR 230.425)</w:t>
      </w:r>
    </w:p>
    <w:p>
      <w:pPr>
        <w:spacing w:after="0" w:line="225" w:lineRule="exact"/>
        <w:rPr>
          <w:rFonts w:ascii="MS PGothic" w:cs="MS PGothic" w:eastAsia="MS PGothic" w:hAnsi="MS PGothic"/>
          <w:sz w:val="18"/>
          <w:szCs w:val="18"/>
          <w:color w:val="auto"/>
        </w:rPr>
      </w:pPr>
    </w:p>
    <w:p>
      <w:pPr>
        <w:ind w:left="840" w:hanging="378"/>
        <w:spacing w:after="0"/>
        <w:tabs>
          <w:tab w:leader="none" w:pos="84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Soliciting material pursuant to Rule 14a-12 under the Exchange Act (17 CFR 240.14a-12)</w:t>
      </w:r>
    </w:p>
    <w:p>
      <w:pPr>
        <w:spacing w:after="0" w:line="225" w:lineRule="exact"/>
        <w:rPr>
          <w:rFonts w:ascii="MS PGothic" w:cs="MS PGothic" w:eastAsia="MS PGothic" w:hAnsi="MS PGothic"/>
          <w:sz w:val="18"/>
          <w:szCs w:val="18"/>
          <w:color w:val="auto"/>
        </w:rPr>
      </w:pPr>
    </w:p>
    <w:p>
      <w:pPr>
        <w:ind w:left="840" w:hanging="378"/>
        <w:spacing w:after="0"/>
        <w:tabs>
          <w:tab w:leader="none" w:pos="84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Pre-commencement communications pursuant to Rule 14d-2(b) under the Exchange Act (17 CFR 240.14d-2(b))</w:t>
      </w:r>
    </w:p>
    <w:p>
      <w:pPr>
        <w:spacing w:after="0" w:line="225" w:lineRule="exact"/>
        <w:rPr>
          <w:rFonts w:ascii="MS PGothic" w:cs="MS PGothic" w:eastAsia="MS PGothic" w:hAnsi="MS PGothic"/>
          <w:sz w:val="18"/>
          <w:szCs w:val="18"/>
          <w:color w:val="auto"/>
        </w:rPr>
      </w:pPr>
    </w:p>
    <w:p>
      <w:pPr>
        <w:ind w:left="840" w:hanging="378"/>
        <w:spacing w:after="0"/>
        <w:tabs>
          <w:tab w:leader="none" w:pos="84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Pre-commencement communications pursuant to Rule 13e-4(c) under the Exchange Act (17 CFR 240.13e-4(c))</w:t>
      </w:r>
    </w:p>
    <w:p>
      <w:pPr>
        <w:spacing w:after="0" w:line="225" w:lineRule="exact"/>
        <w:rPr>
          <w:sz w:val="24"/>
          <w:szCs w:val="24"/>
          <w:color w:val="auto"/>
        </w:rPr>
      </w:pPr>
    </w:p>
    <w:p>
      <w:pPr>
        <w:ind w:right="20"/>
        <w:spacing w:after="0" w:line="282" w:lineRule="auto"/>
        <w:rPr>
          <w:sz w:val="20"/>
          <w:szCs w:val="20"/>
          <w:color w:val="auto"/>
        </w:rPr>
      </w:pPr>
      <w:r>
        <w:rPr>
          <w:rFonts w:ascii="Times New Roman" w:cs="Times New Roman" w:eastAsia="Times New Roman" w:hAnsi="Times New Roman"/>
          <w:sz w:val="18"/>
          <w:szCs w:val="18"/>
          <w:color w:val="auto"/>
        </w:rPr>
        <w:t>Indicate by check mark whether the registrant is an emerging growth company as defined in Rule 405 of the Securities Act of 1933 (§230.405 of this chapter) or Rule 12b-2 of the Securities Exchange Act of 1934 (§240.12b-2 of this chapter).</w:t>
      </w:r>
    </w:p>
    <w:p>
      <w:pPr>
        <w:spacing w:after="0" w:line="121" w:lineRule="exact"/>
        <w:rPr>
          <w:sz w:val="24"/>
          <w:szCs w:val="24"/>
          <w:color w:val="auto"/>
        </w:rPr>
      </w:pPr>
    </w:p>
    <w:p>
      <w:pPr>
        <w:ind w:left="8940"/>
        <w:spacing w:after="0" w:line="207" w:lineRule="exact"/>
        <w:rPr>
          <w:sz w:val="20"/>
          <w:szCs w:val="20"/>
          <w:color w:val="auto"/>
        </w:rPr>
      </w:pPr>
      <w:r>
        <w:rPr>
          <w:rFonts w:ascii="Times New Roman" w:cs="Times New Roman" w:eastAsia="Times New Roman" w:hAnsi="Times New Roman"/>
          <w:sz w:val="18"/>
          <w:szCs w:val="18"/>
          <w:color w:val="auto"/>
        </w:rPr>
        <w:t xml:space="preserve">Emerging growth company </w:t>
      </w:r>
      <w:r>
        <w:rPr>
          <w:rFonts w:ascii="MS PGothic" w:cs="MS PGothic" w:eastAsia="MS PGothic" w:hAnsi="MS PGothic"/>
          <w:sz w:val="18"/>
          <w:szCs w:val="18"/>
          <w:color w:val="auto"/>
        </w:rPr>
        <w:t>☐</w:t>
      </w:r>
    </w:p>
    <w:p>
      <w:pPr>
        <w:spacing w:after="0" w:line="266" w:lineRule="exact"/>
        <w:rPr>
          <w:sz w:val="24"/>
          <w:szCs w:val="24"/>
          <w:color w:val="auto"/>
        </w:rPr>
      </w:pPr>
    </w:p>
    <w:p>
      <w:pPr>
        <w:spacing w:after="0" w:line="239" w:lineRule="exact"/>
        <w:rPr>
          <w:sz w:val="20"/>
          <w:szCs w:val="20"/>
          <w:color w:val="auto"/>
        </w:rPr>
      </w:pPr>
      <w:r>
        <w:rPr>
          <w:rFonts w:ascii="Times New Roman" w:cs="Times New Roman" w:eastAsia="Times New Roman" w:hAnsi="Times New Roman"/>
          <w:sz w:val="18"/>
          <w:szCs w:val="18"/>
          <w:color w:val="auto"/>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MS PGothic" w:cs="MS PGothic" w:eastAsia="MS PGothic" w:hAnsi="MS PGothic"/>
          <w:sz w:val="18"/>
          <w:szCs w:val="18"/>
          <w:color w:val="auto"/>
        </w:rPr>
        <w:t>☐</w:t>
      </w:r>
    </w:p>
    <w:p>
      <w:pPr>
        <w:spacing w:after="0" w:line="170" w:lineRule="exact"/>
        <w:rPr>
          <w:sz w:val="24"/>
          <w:szCs w:val="24"/>
          <w:color w:val="auto"/>
        </w:rPr>
      </w:pPr>
    </w:p>
    <w:p>
      <w:pPr>
        <w:spacing w:after="0"/>
        <w:rPr>
          <w:sz w:val="20"/>
          <w:szCs w:val="20"/>
          <w:color w:val="auto"/>
        </w:rPr>
      </w:pPr>
      <w:r>
        <w:rPr>
          <w:rFonts w:ascii="Times New Roman" w:cs="Times New Roman" w:eastAsia="Times New Roman" w:hAnsi="Times New Roman"/>
          <w:sz w:val="18"/>
          <w:szCs w:val="18"/>
          <w:color w:val="auto"/>
        </w:rPr>
        <w:t>Securities registered pursuant to Section 12(b) of the Act:</w:t>
      </w:r>
    </w:p>
    <w:p>
      <w:pPr>
        <w:spacing w:after="0" w:line="223" w:lineRule="exact"/>
        <w:rPr>
          <w:sz w:val="24"/>
          <w:szCs w:val="24"/>
          <w:color w:val="auto"/>
        </w:rPr>
      </w:pPr>
    </w:p>
    <w:tbl>
      <w:tblPr>
        <w:tblLayout w:type="fixed"/>
        <w:tblInd w:w="10" w:type="dxa"/>
        <w:tblCellMar>
          <w:top w:w="0" w:type="dxa"/>
          <w:left w:w="0" w:type="dxa"/>
          <w:bottom w:w="0" w:type="dxa"/>
          <w:right w:w="0" w:type="dxa"/>
        </w:tblCellMar>
      </w:tblPr>
      <w:tr>
        <w:trPr>
          <w:trHeight w:val="229"/>
        </w:trPr>
        <w:tc>
          <w:tcPr>
            <w:tcW w:w="4520" w:type="dxa"/>
            <w:vAlign w:val="bottom"/>
            <w:tcBorders>
              <w:top w:val="single" w:sz="8" w:color="auto"/>
              <w:left w:val="single" w:sz="8" w:color="auto"/>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8"/>
                <w:szCs w:val="18"/>
                <w:color w:val="auto"/>
              </w:rPr>
              <w:t>Title of each class</w:t>
            </w:r>
          </w:p>
        </w:tc>
        <w:tc>
          <w:tcPr>
            <w:tcW w:w="2240" w:type="dxa"/>
            <w:vAlign w:val="bottom"/>
            <w:tcBorders>
              <w:top w:val="single" w:sz="8" w:color="auto"/>
              <w:bottom w:val="single" w:sz="8" w:color="auto"/>
              <w:right w:val="single" w:sz="8" w:color="auto"/>
            </w:tcBorders>
          </w:tcPr>
          <w:p>
            <w:pPr>
              <w:spacing w:after="0"/>
              <w:rPr>
                <w:sz w:val="20"/>
                <w:szCs w:val="20"/>
                <w:color w:val="auto"/>
              </w:rPr>
            </w:pPr>
            <w:r>
              <w:rPr>
                <w:rFonts w:ascii="Times New Roman" w:cs="Times New Roman" w:eastAsia="Times New Roman" w:hAnsi="Times New Roman"/>
                <w:sz w:val="18"/>
                <w:szCs w:val="18"/>
                <w:color w:val="auto"/>
              </w:rPr>
              <w:t>Trading Symbols(s)</w:t>
            </w:r>
          </w:p>
        </w:tc>
        <w:tc>
          <w:tcPr>
            <w:tcW w:w="4480" w:type="dxa"/>
            <w:vAlign w:val="bottom"/>
            <w:tcBorders>
              <w:top w:val="single" w:sz="8" w:color="auto"/>
              <w:bottom w:val="single" w:sz="8" w:color="auto"/>
              <w:right w:val="single" w:sz="8" w:color="auto"/>
            </w:tcBorders>
          </w:tcPr>
          <w:p>
            <w:pPr>
              <w:spacing w:after="0"/>
              <w:rPr>
                <w:sz w:val="20"/>
                <w:szCs w:val="20"/>
                <w:color w:val="auto"/>
              </w:rPr>
            </w:pPr>
            <w:r>
              <w:rPr>
                <w:rFonts w:ascii="Times New Roman" w:cs="Times New Roman" w:eastAsia="Times New Roman" w:hAnsi="Times New Roman"/>
                <w:sz w:val="18"/>
                <w:szCs w:val="18"/>
                <w:color w:val="auto"/>
              </w:rPr>
              <w:t>Name of each exchange on which registered</w:t>
            </w:r>
          </w:p>
        </w:tc>
      </w:tr>
      <w:tr>
        <w:trPr>
          <w:trHeight w:val="210"/>
        </w:trPr>
        <w:tc>
          <w:tcPr>
            <w:tcW w:w="4520" w:type="dxa"/>
            <w:vAlign w:val="bottom"/>
            <w:tcBorders>
              <w:left w:val="single" w:sz="8" w:color="auto"/>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8"/>
                <w:szCs w:val="18"/>
                <w:color w:val="auto"/>
              </w:rPr>
              <w:t>Common stock, par value $0.001 per share</w:t>
            </w:r>
          </w:p>
        </w:tc>
        <w:tc>
          <w:tcPr>
            <w:tcW w:w="2240" w:type="dxa"/>
            <w:vAlign w:val="bottom"/>
            <w:tcBorders>
              <w:bottom w:val="single" w:sz="8" w:color="auto"/>
              <w:right w:val="single" w:sz="8" w:color="auto"/>
            </w:tcBorders>
          </w:tcPr>
          <w:p>
            <w:pPr>
              <w:spacing w:after="0"/>
              <w:rPr>
                <w:sz w:val="20"/>
                <w:szCs w:val="20"/>
                <w:color w:val="auto"/>
              </w:rPr>
            </w:pPr>
            <w:r>
              <w:rPr>
                <w:rFonts w:ascii="Times New Roman" w:cs="Times New Roman" w:eastAsia="Times New Roman" w:hAnsi="Times New Roman"/>
                <w:sz w:val="18"/>
                <w:szCs w:val="18"/>
                <w:color w:val="auto"/>
              </w:rPr>
              <w:t>CNSP</w:t>
            </w:r>
          </w:p>
        </w:tc>
        <w:tc>
          <w:tcPr>
            <w:tcW w:w="4480" w:type="dxa"/>
            <w:vAlign w:val="bottom"/>
            <w:tcBorders>
              <w:bottom w:val="single" w:sz="8" w:color="auto"/>
              <w:right w:val="single" w:sz="8" w:color="auto"/>
            </w:tcBorders>
          </w:tcPr>
          <w:p>
            <w:pPr>
              <w:spacing w:after="0"/>
              <w:rPr>
                <w:sz w:val="20"/>
                <w:szCs w:val="20"/>
                <w:color w:val="auto"/>
              </w:rPr>
            </w:pPr>
            <w:r>
              <w:rPr>
                <w:rFonts w:ascii="Times New Roman" w:cs="Times New Roman" w:eastAsia="Times New Roman" w:hAnsi="Times New Roman"/>
                <w:sz w:val="18"/>
                <w:szCs w:val="18"/>
                <w:color w:val="auto"/>
              </w:rPr>
              <w:t>The NASDAQ Stock Market LLC</w:t>
            </w:r>
          </w:p>
        </w:tc>
      </w:tr>
      <w:tr>
        <w:trPr>
          <w:trHeight w:val="749"/>
        </w:trPr>
        <w:tc>
          <w:tcPr>
            <w:tcW w:w="4520" w:type="dxa"/>
            <w:vAlign w:val="bottom"/>
            <w:tcBorders>
              <w:bottom w:val="single" w:sz="8" w:color="auto"/>
            </w:tcBorders>
          </w:tcPr>
          <w:p>
            <w:pPr>
              <w:spacing w:after="0"/>
              <w:rPr>
                <w:sz w:val="24"/>
                <w:szCs w:val="24"/>
                <w:color w:val="auto"/>
              </w:rPr>
            </w:pPr>
          </w:p>
        </w:tc>
        <w:tc>
          <w:tcPr>
            <w:tcW w:w="2240" w:type="dxa"/>
            <w:vAlign w:val="bottom"/>
            <w:tcBorders>
              <w:bottom w:val="single" w:sz="8" w:color="auto"/>
            </w:tcBorders>
          </w:tcPr>
          <w:p>
            <w:pPr>
              <w:spacing w:after="0"/>
              <w:rPr>
                <w:sz w:val="24"/>
                <w:szCs w:val="24"/>
                <w:color w:val="auto"/>
              </w:rPr>
            </w:pPr>
          </w:p>
        </w:tc>
        <w:tc>
          <w:tcPr>
            <w:tcW w:w="4480" w:type="dxa"/>
            <w:vAlign w:val="bottom"/>
            <w:tcBorders>
              <w:bottom w:val="single" w:sz="8" w:color="auto"/>
            </w:tcBorders>
          </w:tcPr>
          <w:p>
            <w:pPr>
              <w:spacing w:after="0"/>
              <w:rPr>
                <w:sz w:val="24"/>
                <w:szCs w:val="24"/>
                <w:color w:val="auto"/>
              </w:rPr>
            </w:pPr>
          </w:p>
        </w:tc>
      </w:tr>
    </w:tbl>
    <w:p>
      <w:pPr>
        <w:sectPr>
          <w:pgSz w:w="11900" w:h="16838" w:orient="portrait"/>
          <w:cols w:equalWidth="0" w:num="1">
            <w:col w:w="11240"/>
          </w:cols>
          <w:pgMar w:left="320" w:top="657" w:right="339" w:bottom="1440" w:gutter="0" w:footer="0" w:header="0"/>
          <w:type w:val="continuous"/>
        </w:sectPr>
      </w:pPr>
    </w:p>
    <w:bookmarkStart w:id="1" w:name="page2"/>
    <w:bookmarkEnd w:id="1"/>
    <w:p>
      <w:pPr>
        <w:spacing w:after="0"/>
        <w:tabs>
          <w:tab w:leader="none" w:pos="1280" w:val="left"/>
        </w:tabs>
        <w:rPr>
          <w:sz w:val="20"/>
          <w:szCs w:val="20"/>
          <w:color w:val="auto"/>
        </w:rPr>
      </w:pPr>
      <w:r>
        <w:rPr>
          <w:rFonts w:ascii="Times New Roman" w:cs="Times New Roman" w:eastAsia="Times New Roman" w:hAnsi="Times New Roman"/>
          <w:sz w:val="18"/>
          <w:szCs w:val="18"/>
          <w:b w:val="1"/>
          <w:bCs w:val="1"/>
          <w:color w:val="auto"/>
        </w:rPr>
        <w:t>Item 3.03.</w:t>
      </w:r>
      <w:r>
        <w:rPr>
          <w:sz w:val="20"/>
          <w:szCs w:val="20"/>
          <w:color w:val="auto"/>
        </w:rPr>
        <w:tab/>
      </w:r>
      <w:r>
        <w:rPr>
          <w:rFonts w:ascii="Times New Roman" w:cs="Times New Roman" w:eastAsia="Times New Roman" w:hAnsi="Times New Roman"/>
          <w:sz w:val="17"/>
          <w:szCs w:val="17"/>
          <w:b w:val="1"/>
          <w:bCs w:val="1"/>
          <w:color w:val="auto"/>
        </w:rPr>
        <w:t>Material Modification to Rights of Security Holders.</w:t>
      </w:r>
    </w:p>
    <w:p>
      <w:pPr>
        <w:spacing w:after="0" w:line="229"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The information set forth in Item 5.03 of this Current Report on Form 8-K is incorporated by reference into this Item 3.03. A copy of the Certificate of Change described in Item 5.03 is filed as Exhibit 3.1 to this Current Report on Form 8-K.</w:t>
      </w:r>
    </w:p>
    <w:p>
      <w:pPr>
        <w:spacing w:after="0" w:line="158" w:lineRule="exact"/>
        <w:rPr>
          <w:sz w:val="20"/>
          <w:szCs w:val="20"/>
          <w:color w:val="auto"/>
        </w:rPr>
      </w:pPr>
    </w:p>
    <w:p>
      <w:pPr>
        <w:spacing w:after="0"/>
        <w:tabs>
          <w:tab w:leader="none" w:pos="1280" w:val="left"/>
        </w:tabs>
        <w:rPr>
          <w:sz w:val="20"/>
          <w:szCs w:val="20"/>
          <w:color w:val="auto"/>
        </w:rPr>
      </w:pPr>
      <w:r>
        <w:rPr>
          <w:rFonts w:ascii="Times New Roman" w:cs="Times New Roman" w:eastAsia="Times New Roman" w:hAnsi="Times New Roman"/>
          <w:sz w:val="18"/>
          <w:szCs w:val="18"/>
          <w:b w:val="1"/>
          <w:bCs w:val="1"/>
          <w:color w:val="auto"/>
        </w:rPr>
        <w:t>Item 5.03.</w:t>
      </w:r>
      <w:r>
        <w:rPr>
          <w:sz w:val="20"/>
          <w:szCs w:val="20"/>
          <w:color w:val="auto"/>
        </w:rPr>
        <w:tab/>
      </w:r>
      <w:r>
        <w:rPr>
          <w:rFonts w:ascii="Times New Roman" w:cs="Times New Roman" w:eastAsia="Times New Roman" w:hAnsi="Times New Roman"/>
          <w:sz w:val="17"/>
          <w:szCs w:val="17"/>
          <w:b w:val="1"/>
          <w:bCs w:val="1"/>
          <w:color w:val="auto"/>
        </w:rPr>
        <w:t>Amendments to Articles of Incorporation or Bylaws; Change in Fiscal Year.</w:t>
      </w:r>
    </w:p>
    <w:p>
      <w:pPr>
        <w:spacing w:after="0" w:line="22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On July 17, 2025, CNS Pharmaceuticals, Inc., a Nevada corporation (the “Company”), filed with the Secretary of State of the State of Nevada a Certificate of Change (the “Certificate of Change”), pursuant to Nevada Revised Statutes 78.209, to effect a one-for-twelve (1-for-12) reverse stock split (the “Reverse Split”) of the Company’s issued and outstanding common stock, par value $0.001 per share (the “Common Stock”). The Reverse Split became effective as of 12:01 a.m. Eastern Time on July 22, 2025 (the “Effective Time”). Pursuant to the Nevada Revised Statutes 78.207, the Company’s board of directors has the authority to effect a reverse stock split without stockholder approval if the number of authorized shares of common stock and the number of outstanding shares of common stock are proportionally reduced.</w:t>
      </w:r>
    </w:p>
    <w:p>
      <w:pPr>
        <w:spacing w:after="0" w:line="187"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As a result of the Reverse Split, each twelve pre-split shares of Common Stock outstanding was automatically combined into one new share of Common Stock without any action on the part of the holders. The number of authorized shares of common stock has been reduced from 300,000,000 to 25,000,000, while the number of authorized shares of preferred stock has been reduced from 5,000,000 to 416,667. The new CUSIP number for the Common Stock following the Reverse Split is 18978H508.</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No fractional shares will be issued as a result of the Reverse Split. Stockholders who otherwise would be entitled to a fractional share because they hold a number of shares not evenly divisible by the 1-for-12 Reverse Split ratio will automatically be entitled to receive a cash payment in lieu of a fractional share. All of the Company’s current outstanding warrants to purchase shares of Common Stock and other derivatives automatically adjust per their terms to reflect the Reverse Split.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 w:name="page3"/>
    <w:bookmarkEnd w:id="2"/>
    <w:p>
      <w:pPr>
        <w:spacing w:after="0"/>
        <w:tabs>
          <w:tab w:leader="none" w:pos="1280" w:val="left"/>
        </w:tabs>
        <w:rPr>
          <w:sz w:val="20"/>
          <w:szCs w:val="20"/>
          <w:color w:val="auto"/>
        </w:rPr>
      </w:pPr>
      <w:r>
        <w:rPr>
          <w:rFonts w:ascii="Times New Roman" w:cs="Times New Roman" w:eastAsia="Times New Roman" w:hAnsi="Times New Roman"/>
          <w:sz w:val="18"/>
          <w:szCs w:val="18"/>
          <w:b w:val="1"/>
          <w:bCs w:val="1"/>
          <w:color w:val="auto"/>
        </w:rPr>
        <w:t>Item 8.01.</w:t>
      </w:r>
      <w:r>
        <w:rPr>
          <w:sz w:val="20"/>
          <w:szCs w:val="20"/>
          <w:color w:val="auto"/>
        </w:rPr>
        <w:tab/>
      </w:r>
      <w:r>
        <w:rPr>
          <w:rFonts w:ascii="Times New Roman" w:cs="Times New Roman" w:eastAsia="Times New Roman" w:hAnsi="Times New Roman"/>
          <w:sz w:val="17"/>
          <w:szCs w:val="17"/>
          <w:b w:val="1"/>
          <w:bCs w:val="1"/>
          <w:color w:val="auto"/>
        </w:rPr>
        <w:t>Other Events</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On July 18, 2025, the Company issued a press release announcing the Reverse Split. A copy of the press release is attached hereto as Exhibit 99.1 to this Current Report on Form 8-K and is incorporated herein by reference.</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As of July 22, 2025, the Company had approximately 529,829 shares of Common Stock outstanding.</w:t>
      </w:r>
    </w:p>
    <w:p>
      <w:pPr>
        <w:spacing w:after="0" w:line="225"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table below sets forth the impact of the Reverse Stock Split on the Company’s net loss per common share – basic and diluted; weighted average common shares outstanding – basic and diluted; and shares issued and outstanding, for the years ended December 31, 2024 and 2023 and the three months ended March 31, 2025 and 2024:</w:t>
      </w:r>
    </w:p>
    <w:p>
      <w:pPr>
        <w:spacing w:after="0" w:line="194"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3840" w:type="dxa"/>
            <w:vAlign w:val="bottom"/>
          </w:tcPr>
          <w:p>
            <w:pPr>
              <w:spacing w:after="0"/>
              <w:rPr>
                <w:sz w:val="18"/>
                <w:szCs w:val="18"/>
                <w:color w:val="auto"/>
              </w:rPr>
            </w:pPr>
          </w:p>
        </w:tc>
        <w:tc>
          <w:tcPr>
            <w:tcW w:w="200" w:type="dxa"/>
            <w:vAlign w:val="bottom"/>
            <w:shd w:val="clear" w:color="auto" w:fill="1F487D"/>
          </w:tcPr>
          <w:p>
            <w:pPr>
              <w:spacing w:after="0"/>
              <w:rPr>
                <w:sz w:val="18"/>
                <w:szCs w:val="18"/>
                <w:color w:val="auto"/>
              </w:rPr>
            </w:pPr>
          </w:p>
        </w:tc>
        <w:tc>
          <w:tcPr>
            <w:tcW w:w="3320" w:type="dxa"/>
            <w:vAlign w:val="bottom"/>
            <w:gridSpan w:val="4"/>
            <w:shd w:val="clear" w:color="auto" w:fill="1F487D"/>
          </w:tcPr>
          <w:p>
            <w:pPr>
              <w:jc w:val="center"/>
              <w:ind w:right="130"/>
              <w:spacing w:after="0"/>
              <w:rPr>
                <w:sz w:val="20"/>
                <w:szCs w:val="20"/>
                <w:color w:val="auto"/>
              </w:rPr>
            </w:pPr>
            <w:r>
              <w:rPr>
                <w:rFonts w:ascii="Times New Roman" w:cs="Times New Roman" w:eastAsia="Times New Roman" w:hAnsi="Times New Roman"/>
                <w:sz w:val="18"/>
                <w:szCs w:val="18"/>
                <w:b w:val="1"/>
                <w:bCs w:val="1"/>
                <w:color w:val="auto"/>
                <w:w w:val="99"/>
              </w:rPr>
              <w:t>PRE-SPLIT</w:t>
            </w:r>
          </w:p>
        </w:tc>
        <w:tc>
          <w:tcPr>
            <w:tcW w:w="320" w:type="dxa"/>
            <w:vAlign w:val="bottom"/>
          </w:tcPr>
          <w:p>
            <w:pPr>
              <w:spacing w:after="0"/>
              <w:rPr>
                <w:sz w:val="18"/>
                <w:szCs w:val="18"/>
                <w:color w:val="auto"/>
              </w:rPr>
            </w:pPr>
          </w:p>
        </w:tc>
        <w:tc>
          <w:tcPr>
            <w:tcW w:w="180" w:type="dxa"/>
            <w:vAlign w:val="bottom"/>
            <w:shd w:val="clear" w:color="auto" w:fill="4F81BD"/>
          </w:tcPr>
          <w:p>
            <w:pPr>
              <w:spacing w:after="0"/>
              <w:rPr>
                <w:sz w:val="18"/>
                <w:szCs w:val="18"/>
                <w:color w:val="auto"/>
              </w:rPr>
            </w:pPr>
          </w:p>
        </w:tc>
        <w:tc>
          <w:tcPr>
            <w:tcW w:w="3280" w:type="dxa"/>
            <w:vAlign w:val="bottom"/>
            <w:gridSpan w:val="4"/>
            <w:shd w:val="clear" w:color="auto" w:fill="4F81BD"/>
          </w:tcPr>
          <w:p>
            <w:pPr>
              <w:jc w:val="center"/>
              <w:ind w:right="110"/>
              <w:spacing w:after="0"/>
              <w:rPr>
                <w:sz w:val="20"/>
                <w:szCs w:val="20"/>
                <w:color w:val="auto"/>
              </w:rPr>
            </w:pPr>
            <w:r>
              <w:rPr>
                <w:rFonts w:ascii="Times New Roman" w:cs="Times New Roman" w:eastAsia="Times New Roman" w:hAnsi="Times New Roman"/>
                <w:sz w:val="18"/>
                <w:szCs w:val="18"/>
                <w:b w:val="1"/>
                <w:bCs w:val="1"/>
                <w:color w:val="auto"/>
                <w:w w:val="98"/>
              </w:rPr>
              <w:t>POST-SPLIT</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29"/>
        </w:trPr>
        <w:tc>
          <w:tcPr>
            <w:tcW w:w="3840" w:type="dxa"/>
            <w:vAlign w:val="bottom"/>
          </w:tcPr>
          <w:p>
            <w:pPr>
              <w:spacing w:after="0"/>
              <w:rPr>
                <w:sz w:val="19"/>
                <w:szCs w:val="19"/>
                <w:color w:val="auto"/>
              </w:rPr>
            </w:pPr>
          </w:p>
        </w:tc>
        <w:tc>
          <w:tcPr>
            <w:tcW w:w="200" w:type="dxa"/>
            <w:vAlign w:val="bottom"/>
            <w:tcBorders>
              <w:bottom w:val="single" w:sz="8" w:color="auto"/>
            </w:tcBorders>
          </w:tcPr>
          <w:p>
            <w:pPr>
              <w:spacing w:after="0"/>
              <w:rPr>
                <w:sz w:val="19"/>
                <w:szCs w:val="19"/>
                <w:color w:val="auto"/>
              </w:rPr>
            </w:pPr>
          </w:p>
        </w:tc>
        <w:tc>
          <w:tcPr>
            <w:tcW w:w="3320" w:type="dxa"/>
            <w:vAlign w:val="bottom"/>
            <w:tcBorders>
              <w:bottom w:val="single" w:sz="8" w:color="auto"/>
            </w:tcBorders>
            <w:gridSpan w:val="4"/>
          </w:tcPr>
          <w:p>
            <w:pPr>
              <w:jc w:val="center"/>
              <w:ind w:right="110"/>
              <w:spacing w:after="0"/>
              <w:rPr>
                <w:sz w:val="20"/>
                <w:szCs w:val="20"/>
                <w:color w:val="auto"/>
              </w:rPr>
            </w:pPr>
            <w:r>
              <w:rPr>
                <w:rFonts w:ascii="Times New Roman" w:cs="Times New Roman" w:eastAsia="Times New Roman" w:hAnsi="Times New Roman"/>
                <w:sz w:val="18"/>
                <w:szCs w:val="18"/>
                <w:b w:val="1"/>
                <w:bCs w:val="1"/>
                <w:color w:val="auto"/>
                <w:w w:val="99"/>
              </w:rPr>
              <w:t>12 Months Ended</w:t>
            </w:r>
          </w:p>
        </w:tc>
        <w:tc>
          <w:tcPr>
            <w:tcW w:w="320" w:type="dxa"/>
            <w:vAlign w:val="bottom"/>
          </w:tcPr>
          <w:p>
            <w:pPr>
              <w:spacing w:after="0"/>
              <w:rPr>
                <w:sz w:val="19"/>
                <w:szCs w:val="19"/>
                <w:color w:val="auto"/>
              </w:rPr>
            </w:pPr>
          </w:p>
        </w:tc>
        <w:tc>
          <w:tcPr>
            <w:tcW w:w="180" w:type="dxa"/>
            <w:vAlign w:val="bottom"/>
            <w:tcBorders>
              <w:bottom w:val="single" w:sz="8" w:color="auto"/>
            </w:tcBorders>
          </w:tcPr>
          <w:p>
            <w:pPr>
              <w:spacing w:after="0"/>
              <w:rPr>
                <w:sz w:val="19"/>
                <w:szCs w:val="19"/>
                <w:color w:val="auto"/>
              </w:rPr>
            </w:pPr>
          </w:p>
        </w:tc>
        <w:tc>
          <w:tcPr>
            <w:tcW w:w="3280" w:type="dxa"/>
            <w:vAlign w:val="bottom"/>
            <w:tcBorders>
              <w:bottom w:val="single" w:sz="8" w:color="auto"/>
            </w:tcBorders>
            <w:gridSpan w:val="4"/>
          </w:tcPr>
          <w:p>
            <w:pPr>
              <w:jc w:val="center"/>
              <w:ind w:right="110"/>
              <w:spacing w:after="0"/>
              <w:rPr>
                <w:sz w:val="20"/>
                <w:szCs w:val="20"/>
                <w:color w:val="auto"/>
              </w:rPr>
            </w:pPr>
            <w:r>
              <w:rPr>
                <w:rFonts w:ascii="Times New Roman" w:cs="Times New Roman" w:eastAsia="Times New Roman" w:hAnsi="Times New Roman"/>
                <w:sz w:val="18"/>
                <w:szCs w:val="18"/>
                <w:b w:val="1"/>
                <w:bCs w:val="1"/>
                <w:color w:val="auto"/>
                <w:w w:val="99"/>
              </w:rPr>
              <w:t>12 Months Ended</w:t>
            </w:r>
          </w:p>
        </w:tc>
        <w:tc>
          <w:tcPr>
            <w:tcW w:w="10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23"/>
        </w:trPr>
        <w:tc>
          <w:tcPr>
            <w:tcW w:w="384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1740" w:type="dxa"/>
            <w:vAlign w:val="bottom"/>
            <w:gridSpan w:val="2"/>
          </w:tcPr>
          <w:p>
            <w:pPr>
              <w:jc w:val="right"/>
              <w:ind w:right="660"/>
              <w:spacing w:after="0"/>
              <w:rPr>
                <w:sz w:val="20"/>
                <w:szCs w:val="20"/>
                <w:color w:val="auto"/>
              </w:rPr>
            </w:pPr>
            <w:r>
              <w:rPr>
                <w:rFonts w:ascii="Times New Roman" w:cs="Times New Roman" w:eastAsia="Times New Roman" w:hAnsi="Times New Roman"/>
                <w:sz w:val="18"/>
                <w:szCs w:val="18"/>
                <w:b w:val="1"/>
                <w:bCs w:val="1"/>
                <w:color w:val="auto"/>
              </w:rPr>
              <w:t>Dec 31, 2024</w:t>
            </w:r>
          </w:p>
        </w:tc>
        <w:tc>
          <w:tcPr>
            <w:tcW w:w="180" w:type="dxa"/>
            <w:vAlign w:val="bottom"/>
          </w:tcPr>
          <w:p>
            <w:pPr>
              <w:spacing w:after="0"/>
              <w:rPr>
                <w:sz w:val="19"/>
                <w:szCs w:val="19"/>
                <w:color w:val="auto"/>
              </w:rPr>
            </w:pPr>
          </w:p>
        </w:tc>
        <w:tc>
          <w:tcPr>
            <w:tcW w:w="1400" w:type="dxa"/>
            <w:vAlign w:val="bottom"/>
          </w:tcPr>
          <w:p>
            <w:pPr>
              <w:jc w:val="right"/>
              <w:ind w:right="210"/>
              <w:spacing w:after="0"/>
              <w:rPr>
                <w:sz w:val="20"/>
                <w:szCs w:val="20"/>
                <w:color w:val="auto"/>
              </w:rPr>
            </w:pPr>
            <w:r>
              <w:rPr>
                <w:rFonts w:ascii="Times New Roman" w:cs="Times New Roman" w:eastAsia="Times New Roman" w:hAnsi="Times New Roman"/>
                <w:sz w:val="18"/>
                <w:szCs w:val="18"/>
                <w:b w:val="1"/>
                <w:bCs w:val="1"/>
                <w:color w:val="auto"/>
              </w:rPr>
              <w:t>Dec 31, 2023</w:t>
            </w:r>
          </w:p>
        </w:tc>
        <w:tc>
          <w:tcPr>
            <w:tcW w:w="320" w:type="dxa"/>
            <w:vAlign w:val="bottom"/>
          </w:tcPr>
          <w:p>
            <w:pPr>
              <w:spacing w:after="0"/>
              <w:rPr>
                <w:sz w:val="19"/>
                <w:szCs w:val="19"/>
                <w:color w:val="auto"/>
              </w:rPr>
            </w:pPr>
          </w:p>
        </w:tc>
        <w:tc>
          <w:tcPr>
            <w:tcW w:w="180" w:type="dxa"/>
            <w:vAlign w:val="bottom"/>
          </w:tcPr>
          <w:p>
            <w:pPr>
              <w:spacing w:after="0"/>
              <w:rPr>
                <w:sz w:val="19"/>
                <w:szCs w:val="19"/>
                <w:color w:val="auto"/>
              </w:rPr>
            </w:pPr>
          </w:p>
        </w:tc>
        <w:tc>
          <w:tcPr>
            <w:tcW w:w="1700" w:type="dxa"/>
            <w:vAlign w:val="bottom"/>
            <w:gridSpan w:val="2"/>
          </w:tcPr>
          <w:p>
            <w:pPr>
              <w:jc w:val="right"/>
              <w:ind w:right="620"/>
              <w:spacing w:after="0"/>
              <w:rPr>
                <w:sz w:val="20"/>
                <w:szCs w:val="20"/>
                <w:color w:val="auto"/>
              </w:rPr>
            </w:pPr>
            <w:r>
              <w:rPr>
                <w:rFonts w:ascii="Times New Roman" w:cs="Times New Roman" w:eastAsia="Times New Roman" w:hAnsi="Times New Roman"/>
                <w:sz w:val="18"/>
                <w:szCs w:val="18"/>
                <w:b w:val="1"/>
                <w:bCs w:val="1"/>
                <w:color w:val="auto"/>
              </w:rPr>
              <w:t>Dec 31, 2024</w:t>
            </w:r>
          </w:p>
        </w:tc>
        <w:tc>
          <w:tcPr>
            <w:tcW w:w="180" w:type="dxa"/>
            <w:vAlign w:val="bottom"/>
          </w:tcPr>
          <w:p>
            <w:pPr>
              <w:spacing w:after="0"/>
              <w:rPr>
                <w:sz w:val="19"/>
                <w:szCs w:val="19"/>
                <w:color w:val="auto"/>
              </w:rPr>
            </w:pPr>
          </w:p>
        </w:tc>
        <w:tc>
          <w:tcPr>
            <w:tcW w:w="1400" w:type="dxa"/>
            <w:vAlign w:val="bottom"/>
          </w:tcPr>
          <w:p>
            <w:pPr>
              <w:jc w:val="right"/>
              <w:ind w:right="210"/>
              <w:spacing w:after="0"/>
              <w:rPr>
                <w:sz w:val="20"/>
                <w:szCs w:val="20"/>
                <w:color w:val="auto"/>
              </w:rPr>
            </w:pPr>
            <w:r>
              <w:rPr>
                <w:rFonts w:ascii="Times New Roman" w:cs="Times New Roman" w:eastAsia="Times New Roman" w:hAnsi="Times New Roman"/>
                <w:sz w:val="18"/>
                <w:szCs w:val="18"/>
                <w:b w:val="1"/>
                <w:bCs w:val="1"/>
                <w:color w:val="auto"/>
              </w:rPr>
              <w:t>Dec 31, 2023</w:t>
            </w:r>
          </w:p>
        </w:tc>
        <w:tc>
          <w:tcPr>
            <w:tcW w:w="10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10"/>
        </w:trPr>
        <w:tc>
          <w:tcPr>
            <w:tcW w:w="384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Net Loss</w:t>
            </w:r>
          </w:p>
        </w:tc>
        <w:tc>
          <w:tcPr>
            <w:tcW w:w="200" w:type="dxa"/>
            <w:vAlign w:val="bottom"/>
            <w:tcBorders>
              <w:top w:val="single" w:sz="8" w:color="auto"/>
            </w:tcBorders>
            <w:shd w:val="clear" w:color="auto" w:fill="EEEEEE"/>
          </w:tcPr>
          <w:p>
            <w:pPr>
              <w:jc w:val="right"/>
              <w:ind w:right="10"/>
              <w:spacing w:after="0"/>
              <w:rPr>
                <w:sz w:val="20"/>
                <w:szCs w:val="20"/>
                <w:color w:val="auto"/>
              </w:rPr>
            </w:pPr>
            <w:r>
              <w:rPr>
                <w:rFonts w:ascii="Times New Roman" w:cs="Times New Roman" w:eastAsia="Times New Roman" w:hAnsi="Times New Roman"/>
                <w:sz w:val="18"/>
                <w:szCs w:val="18"/>
                <w:b w:val="1"/>
                <w:bCs w:val="1"/>
                <w:color w:val="auto"/>
                <w:w w:val="88"/>
              </w:rPr>
              <w:t>$</w:t>
            </w:r>
          </w:p>
        </w:tc>
        <w:tc>
          <w:tcPr>
            <w:tcW w:w="140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b w:val="1"/>
                <w:bCs w:val="1"/>
                <w:color w:val="auto"/>
              </w:rPr>
              <w:t>(14,857,801)</w:t>
            </w:r>
          </w:p>
        </w:tc>
        <w:tc>
          <w:tcPr>
            <w:tcW w:w="340" w:type="dxa"/>
            <w:vAlign w:val="bottom"/>
            <w:tcBorders>
              <w:top w:val="single" w:sz="8" w:color="EEEEEE"/>
            </w:tcBorders>
            <w:shd w:val="clear" w:color="auto" w:fill="EEEEEE"/>
          </w:tcPr>
          <w:p>
            <w:pPr>
              <w:spacing w:after="0"/>
              <w:rPr>
                <w:sz w:val="18"/>
                <w:szCs w:val="18"/>
                <w:color w:val="auto"/>
              </w:rPr>
            </w:pPr>
          </w:p>
        </w:tc>
        <w:tc>
          <w:tcPr>
            <w:tcW w:w="18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b w:val="1"/>
                <w:bCs w:val="1"/>
                <w:color w:val="auto"/>
                <w:w w:val="88"/>
              </w:rPr>
              <w:t>$</w:t>
            </w:r>
          </w:p>
        </w:tc>
        <w:tc>
          <w:tcPr>
            <w:tcW w:w="140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b w:val="1"/>
                <w:bCs w:val="1"/>
                <w:color w:val="auto"/>
              </w:rPr>
              <w:t>(18,851,226)</w:t>
            </w:r>
          </w:p>
        </w:tc>
        <w:tc>
          <w:tcPr>
            <w:tcW w:w="320" w:type="dxa"/>
            <w:vAlign w:val="bottom"/>
            <w:tcBorders>
              <w:top w:val="single" w:sz="8" w:color="EEEEEE"/>
            </w:tcBorders>
            <w:shd w:val="clear" w:color="auto" w:fill="EEEEEE"/>
          </w:tcPr>
          <w:p>
            <w:pPr>
              <w:spacing w:after="0"/>
              <w:rPr>
                <w:sz w:val="18"/>
                <w:szCs w:val="18"/>
                <w:color w:val="auto"/>
              </w:rPr>
            </w:pPr>
          </w:p>
        </w:tc>
        <w:tc>
          <w:tcPr>
            <w:tcW w:w="180" w:type="dxa"/>
            <w:vAlign w:val="bottom"/>
            <w:tcBorders>
              <w:top w:val="single" w:sz="8" w:color="auto"/>
            </w:tcBorders>
            <w:shd w:val="clear" w:color="auto" w:fill="EEEEEE"/>
          </w:tcPr>
          <w:p>
            <w:pPr>
              <w:jc w:val="right"/>
              <w:ind w:right="16"/>
              <w:spacing w:after="0"/>
              <w:rPr>
                <w:sz w:val="20"/>
                <w:szCs w:val="20"/>
                <w:color w:val="auto"/>
              </w:rPr>
            </w:pPr>
            <w:r>
              <w:rPr>
                <w:rFonts w:ascii="Times New Roman" w:cs="Times New Roman" w:eastAsia="Times New Roman" w:hAnsi="Times New Roman"/>
                <w:sz w:val="17"/>
                <w:szCs w:val="17"/>
                <w:b w:val="1"/>
                <w:bCs w:val="1"/>
                <w:color w:val="auto"/>
                <w:w w:val="70"/>
              </w:rPr>
              <w:t>$</w:t>
            </w:r>
          </w:p>
        </w:tc>
        <w:tc>
          <w:tcPr>
            <w:tcW w:w="138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b w:val="1"/>
                <w:bCs w:val="1"/>
                <w:color w:val="auto"/>
              </w:rPr>
              <w:t>(14,857,801)</w:t>
            </w:r>
          </w:p>
        </w:tc>
        <w:tc>
          <w:tcPr>
            <w:tcW w:w="320" w:type="dxa"/>
            <w:vAlign w:val="bottom"/>
            <w:tcBorders>
              <w:top w:val="single" w:sz="8" w:color="EEEEEE"/>
            </w:tcBorders>
            <w:shd w:val="clear" w:color="auto" w:fill="EEEEEE"/>
          </w:tcPr>
          <w:p>
            <w:pPr>
              <w:spacing w:after="0"/>
              <w:rPr>
                <w:sz w:val="18"/>
                <w:szCs w:val="18"/>
                <w:color w:val="auto"/>
              </w:rPr>
            </w:pPr>
          </w:p>
        </w:tc>
        <w:tc>
          <w:tcPr>
            <w:tcW w:w="18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b w:val="1"/>
                <w:bCs w:val="1"/>
                <w:color w:val="auto"/>
                <w:w w:val="88"/>
              </w:rPr>
              <w:t>$</w:t>
            </w:r>
          </w:p>
        </w:tc>
        <w:tc>
          <w:tcPr>
            <w:tcW w:w="140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b w:val="1"/>
                <w:bCs w:val="1"/>
                <w:color w:val="auto"/>
              </w:rPr>
              <w:t>(18,851,226)</w:t>
            </w: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384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400" w:type="dxa"/>
            <w:vAlign w:val="bottom"/>
          </w:tcPr>
          <w:p>
            <w:pPr>
              <w:spacing w:after="0"/>
              <w:rPr>
                <w:sz w:val="18"/>
                <w:szCs w:val="18"/>
                <w:color w:val="auto"/>
              </w:rPr>
            </w:pPr>
          </w:p>
        </w:tc>
        <w:tc>
          <w:tcPr>
            <w:tcW w:w="34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3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38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Shares Outstanding</w:t>
            </w:r>
          </w:p>
        </w:tc>
        <w:tc>
          <w:tcPr>
            <w:tcW w:w="200" w:type="dxa"/>
            <w:vAlign w:val="bottom"/>
            <w:shd w:val="clear" w:color="auto" w:fill="EEEEEE"/>
          </w:tcPr>
          <w:p>
            <w:pPr>
              <w:spacing w:after="0"/>
              <w:rPr>
                <w:sz w:val="18"/>
                <w:szCs w:val="18"/>
                <w:color w:val="auto"/>
              </w:rPr>
            </w:pPr>
          </w:p>
        </w:tc>
        <w:tc>
          <w:tcPr>
            <w:tcW w:w="1400" w:type="dxa"/>
            <w:vAlign w:val="bottom"/>
            <w:shd w:val="clear" w:color="auto" w:fill="EEEEEE"/>
          </w:tcPr>
          <w:p>
            <w:pPr>
              <w:spacing w:after="0"/>
              <w:rPr>
                <w:sz w:val="18"/>
                <w:szCs w:val="18"/>
                <w:color w:val="auto"/>
              </w:rPr>
            </w:pPr>
          </w:p>
        </w:tc>
        <w:tc>
          <w:tcPr>
            <w:tcW w:w="34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140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13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140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3840" w:type="dxa"/>
            <w:vAlign w:val="bottom"/>
          </w:tcPr>
          <w:p>
            <w:pPr>
              <w:spacing w:after="0"/>
              <w:rPr>
                <w:sz w:val="20"/>
                <w:szCs w:val="20"/>
                <w:color w:val="auto"/>
              </w:rPr>
            </w:pPr>
            <w:r>
              <w:rPr>
                <w:rFonts w:ascii="Times New Roman" w:cs="Times New Roman" w:eastAsia="Times New Roman" w:hAnsi="Times New Roman"/>
                <w:sz w:val="18"/>
                <w:szCs w:val="18"/>
                <w:color w:val="auto"/>
              </w:rPr>
              <w:t>Basic</w:t>
            </w:r>
          </w:p>
        </w:tc>
        <w:tc>
          <w:tcPr>
            <w:tcW w:w="200" w:type="dxa"/>
            <w:vAlign w:val="bottom"/>
          </w:tcPr>
          <w:p>
            <w:pPr>
              <w:spacing w:after="0"/>
              <w:rPr>
                <w:sz w:val="18"/>
                <w:szCs w:val="18"/>
                <w:color w:val="auto"/>
              </w:rPr>
            </w:pPr>
          </w:p>
        </w:tc>
        <w:tc>
          <w:tcPr>
            <w:tcW w:w="174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color w:val="auto"/>
              </w:rPr>
              <w:t>382,241</w:t>
            </w:r>
          </w:p>
        </w:tc>
        <w:tc>
          <w:tcPr>
            <w:tcW w:w="180" w:type="dxa"/>
            <w:vAlign w:val="bottom"/>
          </w:tcPr>
          <w:p>
            <w:pPr>
              <w:spacing w:after="0"/>
              <w:rPr>
                <w:sz w:val="18"/>
                <w:szCs w:val="18"/>
                <w:color w:val="auto"/>
              </w:rPr>
            </w:pPr>
          </w:p>
        </w:tc>
        <w:tc>
          <w:tcPr>
            <w:tcW w:w="172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1,507</w:t>
            </w:r>
          </w:p>
        </w:tc>
        <w:tc>
          <w:tcPr>
            <w:tcW w:w="180" w:type="dxa"/>
            <w:vAlign w:val="bottom"/>
          </w:tcPr>
          <w:p>
            <w:pPr>
              <w:spacing w:after="0"/>
              <w:rPr>
                <w:sz w:val="18"/>
                <w:szCs w:val="18"/>
                <w:color w:val="auto"/>
              </w:rPr>
            </w:pPr>
          </w:p>
        </w:tc>
        <w:tc>
          <w:tcPr>
            <w:tcW w:w="17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31,854</w:t>
            </w:r>
          </w:p>
        </w:tc>
        <w:tc>
          <w:tcPr>
            <w:tcW w:w="180" w:type="dxa"/>
            <w:vAlign w:val="bottom"/>
          </w:tcPr>
          <w:p>
            <w:pPr>
              <w:spacing w:after="0"/>
              <w:rPr>
                <w:sz w:val="18"/>
                <w:szCs w:val="18"/>
                <w:color w:val="auto"/>
              </w:rPr>
            </w:pPr>
          </w:p>
        </w:tc>
        <w:tc>
          <w:tcPr>
            <w:tcW w:w="15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126</w:t>
            </w:r>
          </w:p>
        </w:tc>
        <w:tc>
          <w:tcPr>
            <w:tcW w:w="0" w:type="dxa"/>
            <w:vAlign w:val="bottom"/>
          </w:tcPr>
          <w:p>
            <w:pPr>
              <w:spacing w:after="0"/>
              <w:rPr>
                <w:sz w:val="1"/>
                <w:szCs w:val="1"/>
                <w:color w:val="auto"/>
              </w:rPr>
            </w:pPr>
          </w:p>
        </w:tc>
      </w:tr>
      <w:tr>
        <w:trPr>
          <w:trHeight w:val="216"/>
        </w:trPr>
        <w:tc>
          <w:tcPr>
            <w:tcW w:w="38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Diluted</w:t>
            </w:r>
          </w:p>
        </w:tc>
        <w:tc>
          <w:tcPr>
            <w:tcW w:w="200" w:type="dxa"/>
            <w:vAlign w:val="bottom"/>
            <w:shd w:val="clear" w:color="auto" w:fill="EEEEEE"/>
          </w:tcPr>
          <w:p>
            <w:pPr>
              <w:spacing w:after="0"/>
              <w:rPr>
                <w:sz w:val="18"/>
                <w:szCs w:val="18"/>
                <w:color w:val="auto"/>
              </w:rPr>
            </w:pPr>
          </w:p>
        </w:tc>
        <w:tc>
          <w:tcPr>
            <w:tcW w:w="1740" w:type="dxa"/>
            <w:vAlign w:val="bottom"/>
            <w:gridSpan w:val="2"/>
            <w:shd w:val="clear" w:color="auto" w:fill="EEEEEE"/>
          </w:tcPr>
          <w:p>
            <w:pPr>
              <w:jc w:val="right"/>
              <w:ind w:right="340"/>
              <w:spacing w:after="0"/>
              <w:rPr>
                <w:sz w:val="20"/>
                <w:szCs w:val="20"/>
                <w:color w:val="auto"/>
              </w:rPr>
            </w:pPr>
            <w:r>
              <w:rPr>
                <w:rFonts w:ascii="Times New Roman" w:cs="Times New Roman" w:eastAsia="Times New Roman" w:hAnsi="Times New Roman"/>
                <w:sz w:val="18"/>
                <w:szCs w:val="18"/>
                <w:color w:val="auto"/>
              </w:rPr>
              <w:t>382,241</w:t>
            </w:r>
          </w:p>
        </w:tc>
        <w:tc>
          <w:tcPr>
            <w:tcW w:w="180" w:type="dxa"/>
            <w:vAlign w:val="bottom"/>
            <w:shd w:val="clear" w:color="auto" w:fill="EEEEEE"/>
          </w:tcPr>
          <w:p>
            <w:pPr>
              <w:spacing w:after="0"/>
              <w:rPr>
                <w:sz w:val="18"/>
                <w:szCs w:val="18"/>
                <w:color w:val="auto"/>
              </w:rPr>
            </w:pPr>
          </w:p>
        </w:tc>
        <w:tc>
          <w:tcPr>
            <w:tcW w:w="172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1,507</w:t>
            </w:r>
          </w:p>
        </w:tc>
        <w:tc>
          <w:tcPr>
            <w:tcW w:w="180" w:type="dxa"/>
            <w:vAlign w:val="bottom"/>
            <w:shd w:val="clear" w:color="auto" w:fill="EEEEEE"/>
          </w:tcPr>
          <w:p>
            <w:pPr>
              <w:spacing w:after="0"/>
              <w:rPr>
                <w:sz w:val="18"/>
                <w:szCs w:val="18"/>
                <w:color w:val="auto"/>
              </w:rPr>
            </w:pPr>
          </w:p>
        </w:tc>
        <w:tc>
          <w:tcPr>
            <w:tcW w:w="17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31,854</w:t>
            </w:r>
          </w:p>
        </w:tc>
        <w:tc>
          <w:tcPr>
            <w:tcW w:w="180" w:type="dxa"/>
            <w:vAlign w:val="bottom"/>
            <w:shd w:val="clear" w:color="auto" w:fill="EEEEEE"/>
          </w:tcPr>
          <w:p>
            <w:pPr>
              <w:spacing w:after="0"/>
              <w:rPr>
                <w:sz w:val="18"/>
                <w:szCs w:val="18"/>
                <w:color w:val="auto"/>
              </w:rPr>
            </w:pPr>
          </w:p>
        </w:tc>
        <w:tc>
          <w:tcPr>
            <w:tcW w:w="15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126</w:t>
            </w:r>
          </w:p>
        </w:tc>
        <w:tc>
          <w:tcPr>
            <w:tcW w:w="0" w:type="dxa"/>
            <w:vAlign w:val="bottom"/>
          </w:tcPr>
          <w:p>
            <w:pPr>
              <w:spacing w:after="0"/>
              <w:rPr>
                <w:sz w:val="1"/>
                <w:szCs w:val="1"/>
                <w:color w:val="auto"/>
              </w:rPr>
            </w:pPr>
          </w:p>
        </w:tc>
      </w:tr>
      <w:tr>
        <w:trPr>
          <w:trHeight w:val="216"/>
        </w:trPr>
        <w:tc>
          <w:tcPr>
            <w:tcW w:w="384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400" w:type="dxa"/>
            <w:vAlign w:val="bottom"/>
          </w:tcPr>
          <w:p>
            <w:pPr>
              <w:spacing w:after="0"/>
              <w:rPr>
                <w:sz w:val="18"/>
                <w:szCs w:val="18"/>
                <w:color w:val="auto"/>
              </w:rPr>
            </w:pPr>
          </w:p>
        </w:tc>
        <w:tc>
          <w:tcPr>
            <w:tcW w:w="34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3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38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Loss per Share</w:t>
            </w:r>
          </w:p>
        </w:tc>
        <w:tc>
          <w:tcPr>
            <w:tcW w:w="200" w:type="dxa"/>
            <w:vAlign w:val="bottom"/>
            <w:shd w:val="clear" w:color="auto" w:fill="EEEEEE"/>
          </w:tcPr>
          <w:p>
            <w:pPr>
              <w:spacing w:after="0"/>
              <w:rPr>
                <w:sz w:val="18"/>
                <w:szCs w:val="18"/>
                <w:color w:val="auto"/>
              </w:rPr>
            </w:pPr>
          </w:p>
        </w:tc>
        <w:tc>
          <w:tcPr>
            <w:tcW w:w="1400" w:type="dxa"/>
            <w:vAlign w:val="bottom"/>
            <w:shd w:val="clear" w:color="auto" w:fill="EEEEEE"/>
          </w:tcPr>
          <w:p>
            <w:pPr>
              <w:spacing w:after="0"/>
              <w:rPr>
                <w:sz w:val="18"/>
                <w:szCs w:val="18"/>
                <w:color w:val="auto"/>
              </w:rPr>
            </w:pPr>
          </w:p>
        </w:tc>
        <w:tc>
          <w:tcPr>
            <w:tcW w:w="34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140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13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140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3840" w:type="dxa"/>
            <w:vAlign w:val="bottom"/>
          </w:tcPr>
          <w:p>
            <w:pPr>
              <w:spacing w:after="0"/>
              <w:rPr>
                <w:sz w:val="20"/>
                <w:szCs w:val="20"/>
                <w:color w:val="auto"/>
              </w:rPr>
            </w:pPr>
            <w:r>
              <w:rPr>
                <w:rFonts w:ascii="Times New Roman" w:cs="Times New Roman" w:eastAsia="Times New Roman" w:hAnsi="Times New Roman"/>
                <w:sz w:val="18"/>
                <w:szCs w:val="18"/>
                <w:color w:val="auto"/>
              </w:rPr>
              <w:t>Basic</w:t>
            </w:r>
          </w:p>
        </w:tc>
        <w:tc>
          <w:tcPr>
            <w:tcW w:w="200" w:type="dxa"/>
            <w:vAlign w:val="bottom"/>
          </w:tcPr>
          <w:p>
            <w:pPr>
              <w:jc w:val="right"/>
              <w:ind w:right="10"/>
              <w:spacing w:after="0"/>
              <w:rPr>
                <w:sz w:val="20"/>
                <w:szCs w:val="20"/>
                <w:color w:val="auto"/>
              </w:rPr>
            </w:pPr>
            <w:r>
              <w:rPr>
                <w:rFonts w:ascii="Times New Roman" w:cs="Times New Roman" w:eastAsia="Times New Roman" w:hAnsi="Times New Roman"/>
                <w:sz w:val="18"/>
                <w:szCs w:val="18"/>
                <w:color w:val="auto"/>
                <w:w w:val="88"/>
              </w:rPr>
              <w:t>$</w:t>
            </w:r>
          </w:p>
        </w:tc>
        <w:tc>
          <w:tcPr>
            <w:tcW w:w="1740" w:type="dxa"/>
            <w:vAlign w:val="bottom"/>
            <w:gridSpan w:val="2"/>
          </w:tcPr>
          <w:p>
            <w:pPr>
              <w:jc w:val="right"/>
              <w:ind w:right="280"/>
              <w:spacing w:after="0"/>
              <w:rPr>
                <w:sz w:val="20"/>
                <w:szCs w:val="20"/>
                <w:color w:val="auto"/>
              </w:rPr>
            </w:pPr>
            <w:r>
              <w:rPr>
                <w:rFonts w:ascii="Times New Roman" w:cs="Times New Roman" w:eastAsia="Times New Roman" w:hAnsi="Times New Roman"/>
                <w:sz w:val="18"/>
                <w:szCs w:val="18"/>
                <w:color w:val="auto"/>
              </w:rPr>
              <w:t>(38.87)</w:t>
            </w:r>
          </w:p>
        </w:tc>
        <w:tc>
          <w:tcPr>
            <w:tcW w:w="180" w:type="dxa"/>
            <w:vAlign w:val="bottom"/>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720" w:type="dxa"/>
            <w:vAlign w:val="bottom"/>
            <w:gridSpan w:val="2"/>
          </w:tcPr>
          <w:p>
            <w:pPr>
              <w:jc w:val="right"/>
              <w:ind w:right="260"/>
              <w:spacing w:after="0"/>
              <w:rPr>
                <w:sz w:val="20"/>
                <w:szCs w:val="20"/>
                <w:color w:val="auto"/>
              </w:rPr>
            </w:pPr>
            <w:r>
              <w:rPr>
                <w:rFonts w:ascii="Times New Roman" w:cs="Times New Roman" w:eastAsia="Times New Roman" w:hAnsi="Times New Roman"/>
                <w:sz w:val="18"/>
                <w:szCs w:val="18"/>
                <w:color w:val="auto"/>
              </w:rPr>
              <w:t>(12,509.11)</w:t>
            </w:r>
          </w:p>
        </w:tc>
        <w:tc>
          <w:tcPr>
            <w:tcW w:w="180" w:type="dxa"/>
            <w:vAlign w:val="bottom"/>
          </w:tcPr>
          <w:p>
            <w:pPr>
              <w:jc w:val="right"/>
              <w:ind w:right="16"/>
              <w:spacing w:after="0"/>
              <w:rPr>
                <w:sz w:val="20"/>
                <w:szCs w:val="20"/>
                <w:color w:val="auto"/>
              </w:rPr>
            </w:pPr>
            <w:r>
              <w:rPr>
                <w:rFonts w:ascii="Times New Roman" w:cs="Times New Roman" w:eastAsia="Times New Roman" w:hAnsi="Times New Roman"/>
                <w:sz w:val="17"/>
                <w:szCs w:val="17"/>
                <w:color w:val="auto"/>
                <w:w w:val="70"/>
              </w:rPr>
              <w:t>$</w:t>
            </w:r>
          </w:p>
        </w:tc>
        <w:tc>
          <w:tcPr>
            <w:tcW w:w="1700" w:type="dxa"/>
            <w:vAlign w:val="bottom"/>
            <w:gridSpan w:val="2"/>
          </w:tcPr>
          <w:p>
            <w:pPr>
              <w:jc w:val="right"/>
              <w:ind w:right="260"/>
              <w:spacing w:after="0"/>
              <w:rPr>
                <w:sz w:val="20"/>
                <w:szCs w:val="20"/>
                <w:color w:val="auto"/>
              </w:rPr>
            </w:pPr>
            <w:r>
              <w:rPr>
                <w:rFonts w:ascii="Times New Roman" w:cs="Times New Roman" w:eastAsia="Times New Roman" w:hAnsi="Times New Roman"/>
                <w:sz w:val="18"/>
                <w:szCs w:val="18"/>
                <w:color w:val="auto"/>
              </w:rPr>
              <w:t>(466.43)</w:t>
            </w:r>
          </w:p>
        </w:tc>
        <w:tc>
          <w:tcPr>
            <w:tcW w:w="180" w:type="dxa"/>
            <w:vAlign w:val="bottom"/>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50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(149,612.90)</w:t>
            </w:r>
          </w:p>
        </w:tc>
        <w:tc>
          <w:tcPr>
            <w:tcW w:w="0" w:type="dxa"/>
            <w:vAlign w:val="bottom"/>
          </w:tcPr>
          <w:p>
            <w:pPr>
              <w:spacing w:after="0"/>
              <w:rPr>
                <w:sz w:val="1"/>
                <w:szCs w:val="1"/>
                <w:color w:val="auto"/>
              </w:rPr>
            </w:pPr>
          </w:p>
        </w:tc>
      </w:tr>
      <w:tr>
        <w:trPr>
          <w:trHeight w:val="216"/>
        </w:trPr>
        <w:tc>
          <w:tcPr>
            <w:tcW w:w="38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Diluted</w:t>
            </w:r>
          </w:p>
        </w:tc>
        <w:tc>
          <w:tcPr>
            <w:tcW w:w="200" w:type="dxa"/>
            <w:vAlign w:val="bottom"/>
            <w:shd w:val="clear" w:color="auto" w:fill="EEEEEE"/>
          </w:tcPr>
          <w:p>
            <w:pPr>
              <w:jc w:val="right"/>
              <w:ind w:right="10"/>
              <w:spacing w:after="0"/>
              <w:rPr>
                <w:sz w:val="20"/>
                <w:szCs w:val="20"/>
                <w:color w:val="auto"/>
              </w:rPr>
            </w:pPr>
            <w:r>
              <w:rPr>
                <w:rFonts w:ascii="Times New Roman" w:cs="Times New Roman" w:eastAsia="Times New Roman" w:hAnsi="Times New Roman"/>
                <w:sz w:val="18"/>
                <w:szCs w:val="18"/>
                <w:color w:val="auto"/>
                <w:w w:val="88"/>
              </w:rPr>
              <w:t>$</w:t>
            </w:r>
          </w:p>
        </w:tc>
        <w:tc>
          <w:tcPr>
            <w:tcW w:w="1740" w:type="dxa"/>
            <w:vAlign w:val="bottom"/>
            <w:gridSpan w:val="2"/>
            <w:shd w:val="clear" w:color="auto" w:fill="EEEEEE"/>
          </w:tcPr>
          <w:p>
            <w:pPr>
              <w:jc w:val="right"/>
              <w:ind w:right="280"/>
              <w:spacing w:after="0"/>
              <w:rPr>
                <w:sz w:val="20"/>
                <w:szCs w:val="20"/>
                <w:color w:val="auto"/>
              </w:rPr>
            </w:pPr>
            <w:r>
              <w:rPr>
                <w:rFonts w:ascii="Times New Roman" w:cs="Times New Roman" w:eastAsia="Times New Roman" w:hAnsi="Times New Roman"/>
                <w:sz w:val="18"/>
                <w:szCs w:val="18"/>
                <w:color w:val="auto"/>
              </w:rPr>
              <w:t>(38.87)</w:t>
            </w:r>
          </w:p>
        </w:tc>
        <w:tc>
          <w:tcPr>
            <w:tcW w:w="18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72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8"/>
                <w:szCs w:val="18"/>
                <w:color w:val="auto"/>
              </w:rPr>
              <w:t>(12,509.11)</w:t>
            </w:r>
          </w:p>
        </w:tc>
        <w:tc>
          <w:tcPr>
            <w:tcW w:w="180" w:type="dxa"/>
            <w:vAlign w:val="bottom"/>
            <w:shd w:val="clear" w:color="auto" w:fill="EEEEEE"/>
          </w:tcPr>
          <w:p>
            <w:pPr>
              <w:jc w:val="right"/>
              <w:ind w:right="16"/>
              <w:spacing w:after="0"/>
              <w:rPr>
                <w:sz w:val="20"/>
                <w:szCs w:val="20"/>
                <w:color w:val="auto"/>
              </w:rPr>
            </w:pPr>
            <w:r>
              <w:rPr>
                <w:rFonts w:ascii="Times New Roman" w:cs="Times New Roman" w:eastAsia="Times New Roman" w:hAnsi="Times New Roman"/>
                <w:sz w:val="17"/>
                <w:szCs w:val="17"/>
                <w:color w:val="auto"/>
                <w:w w:val="70"/>
              </w:rPr>
              <w:t>$</w:t>
            </w:r>
          </w:p>
        </w:tc>
        <w:tc>
          <w:tcPr>
            <w:tcW w:w="170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8"/>
                <w:szCs w:val="18"/>
                <w:color w:val="auto"/>
              </w:rPr>
              <w:t>(466.43)</w:t>
            </w:r>
          </w:p>
        </w:tc>
        <w:tc>
          <w:tcPr>
            <w:tcW w:w="18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50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(149,612.90)</w:t>
            </w:r>
          </w:p>
        </w:tc>
        <w:tc>
          <w:tcPr>
            <w:tcW w:w="0" w:type="dxa"/>
            <w:vAlign w:val="bottom"/>
          </w:tcPr>
          <w:p>
            <w:pPr>
              <w:spacing w:after="0"/>
              <w:rPr>
                <w:sz w:val="1"/>
                <w:szCs w:val="1"/>
                <w:color w:val="auto"/>
              </w:rPr>
            </w:pPr>
          </w:p>
        </w:tc>
      </w:tr>
      <w:tr>
        <w:trPr>
          <w:trHeight w:val="675"/>
        </w:trPr>
        <w:tc>
          <w:tcPr>
            <w:tcW w:w="384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3320" w:type="dxa"/>
            <w:vAlign w:val="bottom"/>
            <w:gridSpan w:val="4"/>
          </w:tcPr>
          <w:p>
            <w:pPr>
              <w:spacing w:after="0"/>
              <w:rPr>
                <w:sz w:val="24"/>
                <w:szCs w:val="24"/>
                <w:color w:val="auto"/>
              </w:rPr>
            </w:pPr>
          </w:p>
        </w:tc>
        <w:tc>
          <w:tcPr>
            <w:tcW w:w="320" w:type="dxa"/>
            <w:vAlign w:val="bottom"/>
            <w:vMerge w:val="restart"/>
          </w:tcPr>
          <w:p>
            <w:pPr>
              <w:spacing w:after="0"/>
              <w:rPr>
                <w:sz w:val="24"/>
                <w:szCs w:val="24"/>
                <w:color w:val="auto"/>
              </w:rPr>
            </w:pPr>
          </w:p>
        </w:tc>
        <w:tc>
          <w:tcPr>
            <w:tcW w:w="180" w:type="dxa"/>
            <w:vAlign w:val="bottom"/>
          </w:tcPr>
          <w:p>
            <w:pPr>
              <w:spacing w:after="0"/>
              <w:rPr>
                <w:sz w:val="24"/>
                <w:szCs w:val="24"/>
                <w:color w:val="auto"/>
              </w:rPr>
            </w:pPr>
          </w:p>
        </w:tc>
        <w:tc>
          <w:tcPr>
            <w:tcW w:w="3280" w:type="dxa"/>
            <w:vAlign w:val="bottom"/>
            <w:gridSpan w:val="4"/>
          </w:tcPr>
          <w:p>
            <w:pPr>
              <w:spacing w:after="0"/>
              <w:rPr>
                <w:sz w:val="24"/>
                <w:szCs w:val="24"/>
                <w:color w:val="auto"/>
              </w:rPr>
            </w:pPr>
          </w:p>
        </w:tc>
        <w:tc>
          <w:tcPr>
            <w:tcW w:w="100" w:type="dxa"/>
            <w:vAlign w:val="bottom"/>
            <w:vMerge w:val="restart"/>
          </w:tcPr>
          <w:p>
            <w:pPr>
              <w:spacing w:after="0"/>
              <w:rPr>
                <w:sz w:val="24"/>
                <w:szCs w:val="24"/>
                <w:color w:val="auto"/>
              </w:rPr>
            </w:pPr>
          </w:p>
        </w:tc>
        <w:tc>
          <w:tcPr>
            <w:tcW w:w="0" w:type="dxa"/>
            <w:vAlign w:val="bottom"/>
          </w:tcPr>
          <w:p>
            <w:pPr>
              <w:spacing w:after="0"/>
              <w:rPr>
                <w:sz w:val="1"/>
                <w:szCs w:val="1"/>
                <w:color w:val="auto"/>
              </w:rPr>
            </w:pPr>
          </w:p>
        </w:tc>
      </w:tr>
      <w:tr>
        <w:trPr>
          <w:trHeight w:val="216"/>
        </w:trPr>
        <w:tc>
          <w:tcPr>
            <w:tcW w:w="3840" w:type="dxa"/>
            <w:vAlign w:val="bottom"/>
          </w:tcPr>
          <w:p>
            <w:pPr>
              <w:spacing w:after="0"/>
              <w:rPr>
                <w:sz w:val="18"/>
                <w:szCs w:val="18"/>
                <w:color w:val="auto"/>
              </w:rPr>
            </w:pPr>
          </w:p>
        </w:tc>
        <w:tc>
          <w:tcPr>
            <w:tcW w:w="200" w:type="dxa"/>
            <w:vAlign w:val="bottom"/>
            <w:shd w:val="clear" w:color="auto" w:fill="1F487D"/>
          </w:tcPr>
          <w:p>
            <w:pPr>
              <w:spacing w:after="0"/>
              <w:rPr>
                <w:sz w:val="18"/>
                <w:szCs w:val="18"/>
                <w:color w:val="auto"/>
              </w:rPr>
            </w:pPr>
          </w:p>
        </w:tc>
        <w:tc>
          <w:tcPr>
            <w:tcW w:w="3320" w:type="dxa"/>
            <w:vAlign w:val="bottom"/>
            <w:gridSpan w:val="4"/>
            <w:shd w:val="clear" w:color="auto" w:fill="1F487D"/>
          </w:tcPr>
          <w:p>
            <w:pPr>
              <w:jc w:val="center"/>
              <w:ind w:right="130"/>
              <w:spacing w:after="0"/>
              <w:rPr>
                <w:sz w:val="20"/>
                <w:szCs w:val="20"/>
                <w:color w:val="auto"/>
              </w:rPr>
            </w:pPr>
            <w:r>
              <w:rPr>
                <w:rFonts w:ascii="Times New Roman" w:cs="Times New Roman" w:eastAsia="Times New Roman" w:hAnsi="Times New Roman"/>
                <w:sz w:val="18"/>
                <w:szCs w:val="18"/>
                <w:b w:val="1"/>
                <w:bCs w:val="1"/>
                <w:color w:val="auto"/>
                <w:w w:val="99"/>
              </w:rPr>
              <w:t>PRE-SPLIT</w:t>
            </w:r>
          </w:p>
        </w:tc>
        <w:tc>
          <w:tcPr>
            <w:tcW w:w="320" w:type="dxa"/>
            <w:vAlign w:val="bottom"/>
            <w:vMerge w:val="continue"/>
          </w:tcPr>
          <w:p>
            <w:pPr>
              <w:spacing w:after="0"/>
              <w:rPr>
                <w:sz w:val="18"/>
                <w:szCs w:val="18"/>
                <w:color w:val="auto"/>
              </w:rPr>
            </w:pPr>
          </w:p>
        </w:tc>
        <w:tc>
          <w:tcPr>
            <w:tcW w:w="180" w:type="dxa"/>
            <w:vAlign w:val="bottom"/>
            <w:shd w:val="clear" w:color="auto" w:fill="4F81BD"/>
          </w:tcPr>
          <w:p>
            <w:pPr>
              <w:spacing w:after="0"/>
              <w:rPr>
                <w:sz w:val="18"/>
                <w:szCs w:val="18"/>
                <w:color w:val="auto"/>
              </w:rPr>
            </w:pPr>
          </w:p>
        </w:tc>
        <w:tc>
          <w:tcPr>
            <w:tcW w:w="3280" w:type="dxa"/>
            <w:vAlign w:val="bottom"/>
            <w:gridSpan w:val="4"/>
            <w:shd w:val="clear" w:color="auto" w:fill="4F81BD"/>
          </w:tcPr>
          <w:p>
            <w:pPr>
              <w:jc w:val="center"/>
              <w:ind w:right="110"/>
              <w:spacing w:after="0"/>
              <w:rPr>
                <w:sz w:val="20"/>
                <w:szCs w:val="20"/>
                <w:color w:val="auto"/>
              </w:rPr>
            </w:pPr>
            <w:r>
              <w:rPr>
                <w:rFonts w:ascii="Times New Roman" w:cs="Times New Roman" w:eastAsia="Times New Roman" w:hAnsi="Times New Roman"/>
                <w:sz w:val="18"/>
                <w:szCs w:val="18"/>
                <w:b w:val="1"/>
                <w:bCs w:val="1"/>
                <w:color w:val="auto"/>
                <w:w w:val="98"/>
              </w:rPr>
              <w:t>POST-SPLIT</w:t>
            </w:r>
          </w:p>
        </w:tc>
        <w:tc>
          <w:tcPr>
            <w:tcW w:w="100" w:type="dxa"/>
            <w:vAlign w:val="bottom"/>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230"/>
        </w:trPr>
        <w:tc>
          <w:tcPr>
            <w:tcW w:w="3840" w:type="dxa"/>
            <w:vAlign w:val="bottom"/>
          </w:tcPr>
          <w:p>
            <w:pPr>
              <w:spacing w:after="0"/>
              <w:rPr>
                <w:sz w:val="19"/>
                <w:szCs w:val="19"/>
                <w:color w:val="auto"/>
              </w:rPr>
            </w:pPr>
          </w:p>
        </w:tc>
        <w:tc>
          <w:tcPr>
            <w:tcW w:w="200" w:type="dxa"/>
            <w:vAlign w:val="bottom"/>
            <w:tcBorders>
              <w:bottom w:val="single" w:sz="8" w:color="auto"/>
            </w:tcBorders>
          </w:tcPr>
          <w:p>
            <w:pPr>
              <w:spacing w:after="0"/>
              <w:rPr>
                <w:sz w:val="19"/>
                <w:szCs w:val="19"/>
                <w:color w:val="auto"/>
              </w:rPr>
            </w:pPr>
          </w:p>
        </w:tc>
        <w:tc>
          <w:tcPr>
            <w:tcW w:w="3320" w:type="dxa"/>
            <w:vAlign w:val="bottom"/>
            <w:tcBorders>
              <w:bottom w:val="single" w:sz="8" w:color="auto"/>
            </w:tcBorders>
            <w:gridSpan w:val="4"/>
          </w:tcPr>
          <w:p>
            <w:pPr>
              <w:jc w:val="center"/>
              <w:ind w:right="110"/>
              <w:spacing w:after="0"/>
              <w:rPr>
                <w:sz w:val="20"/>
                <w:szCs w:val="20"/>
                <w:color w:val="auto"/>
              </w:rPr>
            </w:pPr>
            <w:r>
              <w:rPr>
                <w:rFonts w:ascii="Times New Roman" w:cs="Times New Roman" w:eastAsia="Times New Roman" w:hAnsi="Times New Roman"/>
                <w:sz w:val="18"/>
                <w:szCs w:val="18"/>
                <w:b w:val="1"/>
                <w:bCs w:val="1"/>
                <w:color w:val="auto"/>
              </w:rPr>
              <w:t>3 Months Ended</w:t>
            </w:r>
          </w:p>
        </w:tc>
        <w:tc>
          <w:tcPr>
            <w:tcW w:w="320" w:type="dxa"/>
            <w:vAlign w:val="bottom"/>
          </w:tcPr>
          <w:p>
            <w:pPr>
              <w:spacing w:after="0"/>
              <w:rPr>
                <w:sz w:val="19"/>
                <w:szCs w:val="19"/>
                <w:color w:val="auto"/>
              </w:rPr>
            </w:pPr>
          </w:p>
        </w:tc>
        <w:tc>
          <w:tcPr>
            <w:tcW w:w="180" w:type="dxa"/>
            <w:vAlign w:val="bottom"/>
            <w:tcBorders>
              <w:bottom w:val="single" w:sz="8" w:color="auto"/>
            </w:tcBorders>
          </w:tcPr>
          <w:p>
            <w:pPr>
              <w:spacing w:after="0"/>
              <w:rPr>
                <w:sz w:val="19"/>
                <w:szCs w:val="19"/>
                <w:color w:val="auto"/>
              </w:rPr>
            </w:pPr>
          </w:p>
        </w:tc>
        <w:tc>
          <w:tcPr>
            <w:tcW w:w="3280" w:type="dxa"/>
            <w:vAlign w:val="bottom"/>
            <w:tcBorders>
              <w:bottom w:val="single" w:sz="8" w:color="auto"/>
            </w:tcBorders>
            <w:gridSpan w:val="4"/>
          </w:tcPr>
          <w:p>
            <w:pPr>
              <w:jc w:val="center"/>
              <w:ind w:right="110"/>
              <w:spacing w:after="0"/>
              <w:rPr>
                <w:sz w:val="20"/>
                <w:szCs w:val="20"/>
                <w:color w:val="auto"/>
              </w:rPr>
            </w:pPr>
            <w:r>
              <w:rPr>
                <w:rFonts w:ascii="Times New Roman" w:cs="Times New Roman" w:eastAsia="Times New Roman" w:hAnsi="Times New Roman"/>
                <w:sz w:val="18"/>
                <w:szCs w:val="18"/>
                <w:b w:val="1"/>
                <w:bCs w:val="1"/>
                <w:color w:val="auto"/>
              </w:rPr>
              <w:t>3 Months Ended</w:t>
            </w:r>
          </w:p>
        </w:tc>
        <w:tc>
          <w:tcPr>
            <w:tcW w:w="10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23"/>
        </w:trPr>
        <w:tc>
          <w:tcPr>
            <w:tcW w:w="384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1740" w:type="dxa"/>
            <w:vAlign w:val="bottom"/>
            <w:gridSpan w:val="2"/>
          </w:tcPr>
          <w:p>
            <w:pPr>
              <w:jc w:val="right"/>
              <w:ind w:right="640"/>
              <w:spacing w:after="0"/>
              <w:rPr>
                <w:sz w:val="20"/>
                <w:szCs w:val="20"/>
                <w:color w:val="auto"/>
              </w:rPr>
            </w:pPr>
            <w:r>
              <w:rPr>
                <w:rFonts w:ascii="Times New Roman" w:cs="Times New Roman" w:eastAsia="Times New Roman" w:hAnsi="Times New Roman"/>
                <w:sz w:val="18"/>
                <w:szCs w:val="18"/>
                <w:b w:val="1"/>
                <w:bCs w:val="1"/>
                <w:color w:val="auto"/>
              </w:rPr>
              <w:t>Mar 31, 2025</w:t>
            </w:r>
          </w:p>
        </w:tc>
        <w:tc>
          <w:tcPr>
            <w:tcW w:w="180" w:type="dxa"/>
            <w:vAlign w:val="bottom"/>
          </w:tcPr>
          <w:p>
            <w:pPr>
              <w:spacing w:after="0"/>
              <w:rPr>
                <w:sz w:val="19"/>
                <w:szCs w:val="19"/>
                <w:color w:val="auto"/>
              </w:rPr>
            </w:pPr>
          </w:p>
        </w:tc>
        <w:tc>
          <w:tcPr>
            <w:tcW w:w="1400" w:type="dxa"/>
            <w:vAlign w:val="bottom"/>
          </w:tcPr>
          <w:p>
            <w:pPr>
              <w:jc w:val="right"/>
              <w:ind w:right="190"/>
              <w:spacing w:after="0"/>
              <w:rPr>
                <w:sz w:val="20"/>
                <w:szCs w:val="20"/>
                <w:color w:val="auto"/>
              </w:rPr>
            </w:pPr>
            <w:r>
              <w:rPr>
                <w:rFonts w:ascii="Times New Roman" w:cs="Times New Roman" w:eastAsia="Times New Roman" w:hAnsi="Times New Roman"/>
                <w:sz w:val="18"/>
                <w:szCs w:val="18"/>
                <w:b w:val="1"/>
                <w:bCs w:val="1"/>
                <w:color w:val="auto"/>
              </w:rPr>
              <w:t>Mar 31, 2024</w:t>
            </w:r>
          </w:p>
        </w:tc>
        <w:tc>
          <w:tcPr>
            <w:tcW w:w="320" w:type="dxa"/>
            <w:vAlign w:val="bottom"/>
          </w:tcPr>
          <w:p>
            <w:pPr>
              <w:spacing w:after="0"/>
              <w:rPr>
                <w:sz w:val="19"/>
                <w:szCs w:val="19"/>
                <w:color w:val="auto"/>
              </w:rPr>
            </w:pPr>
          </w:p>
        </w:tc>
        <w:tc>
          <w:tcPr>
            <w:tcW w:w="180" w:type="dxa"/>
            <w:vAlign w:val="bottom"/>
          </w:tcPr>
          <w:p>
            <w:pPr>
              <w:spacing w:after="0"/>
              <w:rPr>
                <w:sz w:val="19"/>
                <w:szCs w:val="19"/>
                <w:color w:val="auto"/>
              </w:rPr>
            </w:pPr>
          </w:p>
        </w:tc>
        <w:tc>
          <w:tcPr>
            <w:tcW w:w="1700" w:type="dxa"/>
            <w:vAlign w:val="bottom"/>
            <w:gridSpan w:val="2"/>
          </w:tcPr>
          <w:p>
            <w:pPr>
              <w:jc w:val="right"/>
              <w:ind w:right="600"/>
              <w:spacing w:after="0"/>
              <w:rPr>
                <w:sz w:val="20"/>
                <w:szCs w:val="20"/>
                <w:color w:val="auto"/>
              </w:rPr>
            </w:pPr>
            <w:r>
              <w:rPr>
                <w:rFonts w:ascii="Times New Roman" w:cs="Times New Roman" w:eastAsia="Times New Roman" w:hAnsi="Times New Roman"/>
                <w:sz w:val="18"/>
                <w:szCs w:val="18"/>
                <w:b w:val="1"/>
                <w:bCs w:val="1"/>
                <w:color w:val="auto"/>
              </w:rPr>
              <w:t>Mar 31, 2025</w:t>
            </w:r>
          </w:p>
        </w:tc>
        <w:tc>
          <w:tcPr>
            <w:tcW w:w="180" w:type="dxa"/>
            <w:vAlign w:val="bottom"/>
          </w:tcPr>
          <w:p>
            <w:pPr>
              <w:spacing w:after="0"/>
              <w:rPr>
                <w:sz w:val="19"/>
                <w:szCs w:val="19"/>
                <w:color w:val="auto"/>
              </w:rPr>
            </w:pPr>
          </w:p>
        </w:tc>
        <w:tc>
          <w:tcPr>
            <w:tcW w:w="1400" w:type="dxa"/>
            <w:vAlign w:val="bottom"/>
          </w:tcPr>
          <w:p>
            <w:pPr>
              <w:jc w:val="right"/>
              <w:ind w:right="190"/>
              <w:spacing w:after="0"/>
              <w:rPr>
                <w:sz w:val="20"/>
                <w:szCs w:val="20"/>
                <w:color w:val="auto"/>
              </w:rPr>
            </w:pPr>
            <w:r>
              <w:rPr>
                <w:rFonts w:ascii="Times New Roman" w:cs="Times New Roman" w:eastAsia="Times New Roman" w:hAnsi="Times New Roman"/>
                <w:sz w:val="18"/>
                <w:szCs w:val="18"/>
                <w:b w:val="1"/>
                <w:bCs w:val="1"/>
                <w:color w:val="auto"/>
              </w:rPr>
              <w:t>Mar 31, 2024</w:t>
            </w:r>
          </w:p>
        </w:tc>
        <w:tc>
          <w:tcPr>
            <w:tcW w:w="10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9"/>
        </w:trPr>
        <w:tc>
          <w:tcPr>
            <w:tcW w:w="384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Net Loss</w:t>
            </w:r>
          </w:p>
        </w:tc>
        <w:tc>
          <w:tcPr>
            <w:tcW w:w="200" w:type="dxa"/>
            <w:vAlign w:val="bottom"/>
            <w:tcBorders>
              <w:top w:val="single" w:sz="8" w:color="auto"/>
            </w:tcBorders>
            <w:shd w:val="clear" w:color="auto" w:fill="EEEEEE"/>
          </w:tcPr>
          <w:p>
            <w:pPr>
              <w:jc w:val="right"/>
              <w:ind w:right="10"/>
              <w:spacing w:after="0"/>
              <w:rPr>
                <w:sz w:val="20"/>
                <w:szCs w:val="20"/>
                <w:color w:val="auto"/>
              </w:rPr>
            </w:pPr>
            <w:r>
              <w:rPr>
                <w:rFonts w:ascii="Times New Roman" w:cs="Times New Roman" w:eastAsia="Times New Roman" w:hAnsi="Times New Roman"/>
                <w:sz w:val="18"/>
                <w:szCs w:val="18"/>
                <w:b w:val="1"/>
                <w:bCs w:val="1"/>
                <w:color w:val="auto"/>
                <w:w w:val="88"/>
              </w:rPr>
              <w:t>$</w:t>
            </w:r>
          </w:p>
        </w:tc>
        <w:tc>
          <w:tcPr>
            <w:tcW w:w="140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b w:val="1"/>
                <w:bCs w:val="1"/>
                <w:color w:val="auto"/>
              </w:rPr>
              <w:t>(4,301,320)</w:t>
            </w:r>
          </w:p>
        </w:tc>
        <w:tc>
          <w:tcPr>
            <w:tcW w:w="340" w:type="dxa"/>
            <w:vAlign w:val="bottom"/>
            <w:tcBorders>
              <w:top w:val="single" w:sz="8" w:color="EEEEEE"/>
            </w:tcBorders>
            <w:shd w:val="clear" w:color="auto" w:fill="EEEEEE"/>
          </w:tcPr>
          <w:p>
            <w:pPr>
              <w:spacing w:after="0"/>
              <w:rPr>
                <w:sz w:val="18"/>
                <w:szCs w:val="18"/>
                <w:color w:val="auto"/>
              </w:rPr>
            </w:pPr>
          </w:p>
        </w:tc>
        <w:tc>
          <w:tcPr>
            <w:tcW w:w="18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b w:val="1"/>
                <w:bCs w:val="1"/>
                <w:color w:val="auto"/>
                <w:w w:val="88"/>
              </w:rPr>
              <w:t>$</w:t>
            </w:r>
          </w:p>
        </w:tc>
        <w:tc>
          <w:tcPr>
            <w:tcW w:w="140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b w:val="1"/>
                <w:bCs w:val="1"/>
                <w:color w:val="auto"/>
              </w:rPr>
              <w:t>(3,544,748)</w:t>
            </w:r>
          </w:p>
        </w:tc>
        <w:tc>
          <w:tcPr>
            <w:tcW w:w="320" w:type="dxa"/>
            <w:vAlign w:val="bottom"/>
            <w:tcBorders>
              <w:top w:val="single" w:sz="8" w:color="EEEEEE"/>
            </w:tcBorders>
            <w:shd w:val="clear" w:color="auto" w:fill="EEEEEE"/>
          </w:tcPr>
          <w:p>
            <w:pPr>
              <w:spacing w:after="0"/>
              <w:rPr>
                <w:sz w:val="18"/>
                <w:szCs w:val="18"/>
                <w:color w:val="auto"/>
              </w:rPr>
            </w:pPr>
          </w:p>
        </w:tc>
        <w:tc>
          <w:tcPr>
            <w:tcW w:w="180" w:type="dxa"/>
            <w:vAlign w:val="bottom"/>
            <w:tcBorders>
              <w:top w:val="single" w:sz="8" w:color="auto"/>
            </w:tcBorders>
            <w:shd w:val="clear" w:color="auto" w:fill="EEEEEE"/>
          </w:tcPr>
          <w:p>
            <w:pPr>
              <w:jc w:val="right"/>
              <w:ind w:right="16"/>
              <w:spacing w:after="0"/>
              <w:rPr>
                <w:sz w:val="20"/>
                <w:szCs w:val="20"/>
                <w:color w:val="auto"/>
              </w:rPr>
            </w:pPr>
            <w:r>
              <w:rPr>
                <w:rFonts w:ascii="Times New Roman" w:cs="Times New Roman" w:eastAsia="Times New Roman" w:hAnsi="Times New Roman"/>
                <w:sz w:val="17"/>
                <w:szCs w:val="17"/>
                <w:b w:val="1"/>
                <w:bCs w:val="1"/>
                <w:color w:val="auto"/>
                <w:w w:val="70"/>
              </w:rPr>
              <w:t>$</w:t>
            </w:r>
          </w:p>
        </w:tc>
        <w:tc>
          <w:tcPr>
            <w:tcW w:w="138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b w:val="1"/>
                <w:bCs w:val="1"/>
                <w:color w:val="auto"/>
              </w:rPr>
              <w:t>(4,301,320)</w:t>
            </w:r>
          </w:p>
        </w:tc>
        <w:tc>
          <w:tcPr>
            <w:tcW w:w="320" w:type="dxa"/>
            <w:vAlign w:val="bottom"/>
            <w:tcBorders>
              <w:top w:val="single" w:sz="8" w:color="EEEEEE"/>
            </w:tcBorders>
            <w:shd w:val="clear" w:color="auto" w:fill="EEEEEE"/>
          </w:tcPr>
          <w:p>
            <w:pPr>
              <w:spacing w:after="0"/>
              <w:rPr>
                <w:sz w:val="18"/>
                <w:szCs w:val="18"/>
                <w:color w:val="auto"/>
              </w:rPr>
            </w:pPr>
          </w:p>
        </w:tc>
        <w:tc>
          <w:tcPr>
            <w:tcW w:w="18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b w:val="1"/>
                <w:bCs w:val="1"/>
                <w:color w:val="auto"/>
                <w:w w:val="88"/>
              </w:rPr>
              <w:t>$</w:t>
            </w:r>
          </w:p>
        </w:tc>
        <w:tc>
          <w:tcPr>
            <w:tcW w:w="140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b w:val="1"/>
                <w:bCs w:val="1"/>
                <w:color w:val="auto"/>
              </w:rPr>
              <w:t>(3,544,748)</w:t>
            </w: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384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400" w:type="dxa"/>
            <w:vAlign w:val="bottom"/>
          </w:tcPr>
          <w:p>
            <w:pPr>
              <w:spacing w:after="0"/>
              <w:rPr>
                <w:sz w:val="18"/>
                <w:szCs w:val="18"/>
                <w:color w:val="auto"/>
              </w:rPr>
            </w:pPr>
          </w:p>
        </w:tc>
        <w:tc>
          <w:tcPr>
            <w:tcW w:w="34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3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38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Shares Outstanding</w:t>
            </w:r>
          </w:p>
        </w:tc>
        <w:tc>
          <w:tcPr>
            <w:tcW w:w="200" w:type="dxa"/>
            <w:vAlign w:val="bottom"/>
            <w:shd w:val="clear" w:color="auto" w:fill="EEEEEE"/>
          </w:tcPr>
          <w:p>
            <w:pPr>
              <w:spacing w:after="0"/>
              <w:rPr>
                <w:sz w:val="18"/>
                <w:szCs w:val="18"/>
                <w:color w:val="auto"/>
              </w:rPr>
            </w:pPr>
          </w:p>
        </w:tc>
        <w:tc>
          <w:tcPr>
            <w:tcW w:w="1400" w:type="dxa"/>
            <w:vAlign w:val="bottom"/>
            <w:shd w:val="clear" w:color="auto" w:fill="EEEEEE"/>
          </w:tcPr>
          <w:p>
            <w:pPr>
              <w:spacing w:after="0"/>
              <w:rPr>
                <w:sz w:val="18"/>
                <w:szCs w:val="18"/>
                <w:color w:val="auto"/>
              </w:rPr>
            </w:pPr>
          </w:p>
        </w:tc>
        <w:tc>
          <w:tcPr>
            <w:tcW w:w="34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140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13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140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3840" w:type="dxa"/>
            <w:vAlign w:val="bottom"/>
          </w:tcPr>
          <w:p>
            <w:pPr>
              <w:spacing w:after="0"/>
              <w:rPr>
                <w:sz w:val="20"/>
                <w:szCs w:val="20"/>
                <w:color w:val="auto"/>
              </w:rPr>
            </w:pPr>
            <w:r>
              <w:rPr>
                <w:rFonts w:ascii="Times New Roman" w:cs="Times New Roman" w:eastAsia="Times New Roman" w:hAnsi="Times New Roman"/>
                <w:sz w:val="18"/>
                <w:szCs w:val="18"/>
                <w:color w:val="auto"/>
              </w:rPr>
              <w:t>Basic</w:t>
            </w:r>
          </w:p>
        </w:tc>
        <w:tc>
          <w:tcPr>
            <w:tcW w:w="200" w:type="dxa"/>
            <w:vAlign w:val="bottom"/>
          </w:tcPr>
          <w:p>
            <w:pPr>
              <w:spacing w:after="0"/>
              <w:rPr>
                <w:sz w:val="18"/>
                <w:szCs w:val="18"/>
                <w:color w:val="auto"/>
              </w:rPr>
            </w:pPr>
          </w:p>
        </w:tc>
        <w:tc>
          <w:tcPr>
            <w:tcW w:w="1740" w:type="dxa"/>
            <w:vAlign w:val="bottom"/>
            <w:gridSpan w:val="2"/>
          </w:tcPr>
          <w:p>
            <w:pPr>
              <w:jc w:val="right"/>
              <w:ind w:right="340"/>
              <w:spacing w:after="0"/>
              <w:rPr>
                <w:sz w:val="20"/>
                <w:szCs w:val="20"/>
                <w:color w:val="auto"/>
              </w:rPr>
            </w:pPr>
            <w:r>
              <w:rPr>
                <w:rFonts w:ascii="Times New Roman" w:cs="Times New Roman" w:eastAsia="Times New Roman" w:hAnsi="Times New Roman"/>
                <w:sz w:val="18"/>
                <w:szCs w:val="18"/>
                <w:color w:val="auto"/>
              </w:rPr>
              <w:t>2,726,636</w:t>
            </w:r>
          </w:p>
        </w:tc>
        <w:tc>
          <w:tcPr>
            <w:tcW w:w="180" w:type="dxa"/>
            <w:vAlign w:val="bottom"/>
          </w:tcPr>
          <w:p>
            <w:pPr>
              <w:spacing w:after="0"/>
              <w:rPr>
                <w:sz w:val="18"/>
                <w:szCs w:val="18"/>
                <w:color w:val="auto"/>
              </w:rPr>
            </w:pPr>
          </w:p>
        </w:tc>
        <w:tc>
          <w:tcPr>
            <w:tcW w:w="172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3,474</w:t>
            </w:r>
          </w:p>
        </w:tc>
        <w:tc>
          <w:tcPr>
            <w:tcW w:w="180" w:type="dxa"/>
            <w:vAlign w:val="bottom"/>
          </w:tcPr>
          <w:p>
            <w:pPr>
              <w:spacing w:after="0"/>
              <w:rPr>
                <w:sz w:val="18"/>
                <w:szCs w:val="18"/>
                <w:color w:val="auto"/>
              </w:rPr>
            </w:pPr>
          </w:p>
        </w:tc>
        <w:tc>
          <w:tcPr>
            <w:tcW w:w="17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227,220</w:t>
            </w:r>
          </w:p>
        </w:tc>
        <w:tc>
          <w:tcPr>
            <w:tcW w:w="180" w:type="dxa"/>
            <w:vAlign w:val="bottom"/>
          </w:tcPr>
          <w:p>
            <w:pPr>
              <w:spacing w:after="0"/>
              <w:rPr>
                <w:sz w:val="18"/>
                <w:szCs w:val="18"/>
                <w:color w:val="auto"/>
              </w:rPr>
            </w:pPr>
          </w:p>
        </w:tc>
        <w:tc>
          <w:tcPr>
            <w:tcW w:w="15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290</w:t>
            </w:r>
          </w:p>
        </w:tc>
        <w:tc>
          <w:tcPr>
            <w:tcW w:w="0" w:type="dxa"/>
            <w:vAlign w:val="bottom"/>
          </w:tcPr>
          <w:p>
            <w:pPr>
              <w:spacing w:after="0"/>
              <w:rPr>
                <w:sz w:val="1"/>
                <w:szCs w:val="1"/>
                <w:color w:val="auto"/>
              </w:rPr>
            </w:pPr>
          </w:p>
        </w:tc>
      </w:tr>
      <w:tr>
        <w:trPr>
          <w:trHeight w:val="216"/>
        </w:trPr>
        <w:tc>
          <w:tcPr>
            <w:tcW w:w="38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Diluted</w:t>
            </w:r>
          </w:p>
        </w:tc>
        <w:tc>
          <w:tcPr>
            <w:tcW w:w="200" w:type="dxa"/>
            <w:vAlign w:val="bottom"/>
            <w:shd w:val="clear" w:color="auto" w:fill="EEEEEE"/>
          </w:tcPr>
          <w:p>
            <w:pPr>
              <w:spacing w:after="0"/>
              <w:rPr>
                <w:sz w:val="18"/>
                <w:szCs w:val="18"/>
                <w:color w:val="auto"/>
              </w:rPr>
            </w:pPr>
          </w:p>
        </w:tc>
        <w:tc>
          <w:tcPr>
            <w:tcW w:w="1740" w:type="dxa"/>
            <w:vAlign w:val="bottom"/>
            <w:gridSpan w:val="2"/>
            <w:shd w:val="clear" w:color="auto" w:fill="EEEEEE"/>
          </w:tcPr>
          <w:p>
            <w:pPr>
              <w:jc w:val="right"/>
              <w:ind w:right="340"/>
              <w:spacing w:after="0"/>
              <w:rPr>
                <w:sz w:val="20"/>
                <w:szCs w:val="20"/>
                <w:color w:val="auto"/>
              </w:rPr>
            </w:pPr>
            <w:r>
              <w:rPr>
                <w:rFonts w:ascii="Times New Roman" w:cs="Times New Roman" w:eastAsia="Times New Roman" w:hAnsi="Times New Roman"/>
                <w:sz w:val="18"/>
                <w:szCs w:val="18"/>
                <w:color w:val="auto"/>
              </w:rPr>
              <w:t>2,726,636</w:t>
            </w:r>
          </w:p>
        </w:tc>
        <w:tc>
          <w:tcPr>
            <w:tcW w:w="180" w:type="dxa"/>
            <w:vAlign w:val="bottom"/>
            <w:shd w:val="clear" w:color="auto" w:fill="EEEEEE"/>
          </w:tcPr>
          <w:p>
            <w:pPr>
              <w:spacing w:after="0"/>
              <w:rPr>
                <w:sz w:val="18"/>
                <w:szCs w:val="18"/>
                <w:color w:val="auto"/>
              </w:rPr>
            </w:pPr>
          </w:p>
        </w:tc>
        <w:tc>
          <w:tcPr>
            <w:tcW w:w="172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3,474</w:t>
            </w:r>
          </w:p>
        </w:tc>
        <w:tc>
          <w:tcPr>
            <w:tcW w:w="180" w:type="dxa"/>
            <w:vAlign w:val="bottom"/>
            <w:shd w:val="clear" w:color="auto" w:fill="EEEEEE"/>
          </w:tcPr>
          <w:p>
            <w:pPr>
              <w:spacing w:after="0"/>
              <w:rPr>
                <w:sz w:val="18"/>
                <w:szCs w:val="18"/>
                <w:color w:val="auto"/>
              </w:rPr>
            </w:pPr>
          </w:p>
        </w:tc>
        <w:tc>
          <w:tcPr>
            <w:tcW w:w="17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227,220</w:t>
            </w:r>
          </w:p>
        </w:tc>
        <w:tc>
          <w:tcPr>
            <w:tcW w:w="180" w:type="dxa"/>
            <w:vAlign w:val="bottom"/>
            <w:shd w:val="clear" w:color="auto" w:fill="EEEEEE"/>
          </w:tcPr>
          <w:p>
            <w:pPr>
              <w:spacing w:after="0"/>
              <w:rPr>
                <w:sz w:val="18"/>
                <w:szCs w:val="18"/>
                <w:color w:val="auto"/>
              </w:rPr>
            </w:pPr>
          </w:p>
        </w:tc>
        <w:tc>
          <w:tcPr>
            <w:tcW w:w="15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290</w:t>
            </w:r>
          </w:p>
        </w:tc>
        <w:tc>
          <w:tcPr>
            <w:tcW w:w="0" w:type="dxa"/>
            <w:vAlign w:val="bottom"/>
          </w:tcPr>
          <w:p>
            <w:pPr>
              <w:spacing w:after="0"/>
              <w:rPr>
                <w:sz w:val="1"/>
                <w:szCs w:val="1"/>
                <w:color w:val="auto"/>
              </w:rPr>
            </w:pPr>
          </w:p>
        </w:tc>
      </w:tr>
      <w:tr>
        <w:trPr>
          <w:trHeight w:val="216"/>
        </w:trPr>
        <w:tc>
          <w:tcPr>
            <w:tcW w:w="384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400" w:type="dxa"/>
            <w:vAlign w:val="bottom"/>
          </w:tcPr>
          <w:p>
            <w:pPr>
              <w:spacing w:after="0"/>
              <w:rPr>
                <w:sz w:val="18"/>
                <w:szCs w:val="18"/>
                <w:color w:val="auto"/>
              </w:rPr>
            </w:pPr>
          </w:p>
        </w:tc>
        <w:tc>
          <w:tcPr>
            <w:tcW w:w="34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3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38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Loss per Share</w:t>
            </w:r>
          </w:p>
        </w:tc>
        <w:tc>
          <w:tcPr>
            <w:tcW w:w="200" w:type="dxa"/>
            <w:vAlign w:val="bottom"/>
            <w:shd w:val="clear" w:color="auto" w:fill="EEEEEE"/>
          </w:tcPr>
          <w:p>
            <w:pPr>
              <w:spacing w:after="0"/>
              <w:rPr>
                <w:sz w:val="18"/>
                <w:szCs w:val="18"/>
                <w:color w:val="auto"/>
              </w:rPr>
            </w:pPr>
          </w:p>
        </w:tc>
        <w:tc>
          <w:tcPr>
            <w:tcW w:w="1400" w:type="dxa"/>
            <w:vAlign w:val="bottom"/>
            <w:shd w:val="clear" w:color="auto" w:fill="EEEEEE"/>
          </w:tcPr>
          <w:p>
            <w:pPr>
              <w:spacing w:after="0"/>
              <w:rPr>
                <w:sz w:val="18"/>
                <w:szCs w:val="18"/>
                <w:color w:val="auto"/>
              </w:rPr>
            </w:pPr>
          </w:p>
        </w:tc>
        <w:tc>
          <w:tcPr>
            <w:tcW w:w="34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140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13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140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3840" w:type="dxa"/>
            <w:vAlign w:val="bottom"/>
          </w:tcPr>
          <w:p>
            <w:pPr>
              <w:spacing w:after="0"/>
              <w:rPr>
                <w:sz w:val="20"/>
                <w:szCs w:val="20"/>
                <w:color w:val="auto"/>
              </w:rPr>
            </w:pPr>
            <w:r>
              <w:rPr>
                <w:rFonts w:ascii="Times New Roman" w:cs="Times New Roman" w:eastAsia="Times New Roman" w:hAnsi="Times New Roman"/>
                <w:sz w:val="18"/>
                <w:szCs w:val="18"/>
                <w:color w:val="auto"/>
              </w:rPr>
              <w:t>Basic</w:t>
            </w:r>
          </w:p>
        </w:tc>
        <w:tc>
          <w:tcPr>
            <w:tcW w:w="200" w:type="dxa"/>
            <w:vAlign w:val="bottom"/>
          </w:tcPr>
          <w:p>
            <w:pPr>
              <w:jc w:val="right"/>
              <w:ind w:right="10"/>
              <w:spacing w:after="0"/>
              <w:rPr>
                <w:sz w:val="20"/>
                <w:szCs w:val="20"/>
                <w:color w:val="auto"/>
              </w:rPr>
            </w:pPr>
            <w:r>
              <w:rPr>
                <w:rFonts w:ascii="Times New Roman" w:cs="Times New Roman" w:eastAsia="Times New Roman" w:hAnsi="Times New Roman"/>
                <w:sz w:val="18"/>
                <w:szCs w:val="18"/>
                <w:color w:val="auto"/>
                <w:w w:val="88"/>
              </w:rPr>
              <w:t>$</w:t>
            </w:r>
          </w:p>
        </w:tc>
        <w:tc>
          <w:tcPr>
            <w:tcW w:w="1740" w:type="dxa"/>
            <w:vAlign w:val="bottom"/>
            <w:gridSpan w:val="2"/>
          </w:tcPr>
          <w:p>
            <w:pPr>
              <w:jc w:val="right"/>
              <w:ind w:right="280"/>
              <w:spacing w:after="0"/>
              <w:rPr>
                <w:sz w:val="20"/>
                <w:szCs w:val="20"/>
                <w:color w:val="auto"/>
              </w:rPr>
            </w:pPr>
            <w:r>
              <w:rPr>
                <w:rFonts w:ascii="Times New Roman" w:cs="Times New Roman" w:eastAsia="Times New Roman" w:hAnsi="Times New Roman"/>
                <w:sz w:val="18"/>
                <w:szCs w:val="18"/>
                <w:color w:val="auto"/>
              </w:rPr>
              <w:t>(1.58)</w:t>
            </w:r>
          </w:p>
        </w:tc>
        <w:tc>
          <w:tcPr>
            <w:tcW w:w="180" w:type="dxa"/>
            <w:vAlign w:val="bottom"/>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720" w:type="dxa"/>
            <w:vAlign w:val="bottom"/>
            <w:gridSpan w:val="2"/>
          </w:tcPr>
          <w:p>
            <w:pPr>
              <w:jc w:val="right"/>
              <w:ind w:right="260"/>
              <w:spacing w:after="0"/>
              <w:rPr>
                <w:sz w:val="20"/>
                <w:szCs w:val="20"/>
                <w:color w:val="auto"/>
              </w:rPr>
            </w:pPr>
            <w:r>
              <w:rPr>
                <w:rFonts w:ascii="Times New Roman" w:cs="Times New Roman" w:eastAsia="Times New Roman" w:hAnsi="Times New Roman"/>
                <w:sz w:val="18"/>
                <w:szCs w:val="18"/>
                <w:color w:val="auto"/>
              </w:rPr>
              <w:t>(1,020.36)</w:t>
            </w:r>
          </w:p>
        </w:tc>
        <w:tc>
          <w:tcPr>
            <w:tcW w:w="180" w:type="dxa"/>
            <w:vAlign w:val="bottom"/>
          </w:tcPr>
          <w:p>
            <w:pPr>
              <w:jc w:val="right"/>
              <w:ind w:right="16"/>
              <w:spacing w:after="0"/>
              <w:rPr>
                <w:sz w:val="20"/>
                <w:szCs w:val="20"/>
                <w:color w:val="auto"/>
              </w:rPr>
            </w:pPr>
            <w:r>
              <w:rPr>
                <w:rFonts w:ascii="Times New Roman" w:cs="Times New Roman" w:eastAsia="Times New Roman" w:hAnsi="Times New Roman"/>
                <w:sz w:val="17"/>
                <w:szCs w:val="17"/>
                <w:color w:val="auto"/>
                <w:w w:val="70"/>
              </w:rPr>
              <w:t>$</w:t>
            </w:r>
          </w:p>
        </w:tc>
        <w:tc>
          <w:tcPr>
            <w:tcW w:w="1700" w:type="dxa"/>
            <w:vAlign w:val="bottom"/>
            <w:gridSpan w:val="2"/>
          </w:tcPr>
          <w:p>
            <w:pPr>
              <w:jc w:val="right"/>
              <w:ind w:right="260"/>
              <w:spacing w:after="0"/>
              <w:rPr>
                <w:sz w:val="20"/>
                <w:szCs w:val="20"/>
                <w:color w:val="auto"/>
              </w:rPr>
            </w:pPr>
            <w:r>
              <w:rPr>
                <w:rFonts w:ascii="Times New Roman" w:cs="Times New Roman" w:eastAsia="Times New Roman" w:hAnsi="Times New Roman"/>
                <w:sz w:val="18"/>
                <w:szCs w:val="18"/>
                <w:color w:val="auto"/>
              </w:rPr>
              <w:t>(18.93)</w:t>
            </w:r>
          </w:p>
        </w:tc>
        <w:tc>
          <w:tcPr>
            <w:tcW w:w="180" w:type="dxa"/>
            <w:vAlign w:val="bottom"/>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50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(12,223.27)</w:t>
            </w:r>
          </w:p>
        </w:tc>
        <w:tc>
          <w:tcPr>
            <w:tcW w:w="0" w:type="dxa"/>
            <w:vAlign w:val="bottom"/>
          </w:tcPr>
          <w:p>
            <w:pPr>
              <w:spacing w:after="0"/>
              <w:rPr>
                <w:sz w:val="1"/>
                <w:szCs w:val="1"/>
                <w:color w:val="auto"/>
              </w:rPr>
            </w:pPr>
          </w:p>
        </w:tc>
      </w:tr>
      <w:tr>
        <w:trPr>
          <w:trHeight w:val="216"/>
        </w:trPr>
        <w:tc>
          <w:tcPr>
            <w:tcW w:w="38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Diluted</w:t>
            </w:r>
          </w:p>
        </w:tc>
        <w:tc>
          <w:tcPr>
            <w:tcW w:w="200" w:type="dxa"/>
            <w:vAlign w:val="bottom"/>
            <w:shd w:val="clear" w:color="auto" w:fill="EEEEEE"/>
          </w:tcPr>
          <w:p>
            <w:pPr>
              <w:jc w:val="right"/>
              <w:ind w:right="10"/>
              <w:spacing w:after="0"/>
              <w:rPr>
                <w:sz w:val="20"/>
                <w:szCs w:val="20"/>
                <w:color w:val="auto"/>
              </w:rPr>
            </w:pPr>
            <w:r>
              <w:rPr>
                <w:rFonts w:ascii="Times New Roman" w:cs="Times New Roman" w:eastAsia="Times New Roman" w:hAnsi="Times New Roman"/>
                <w:sz w:val="18"/>
                <w:szCs w:val="18"/>
                <w:color w:val="auto"/>
                <w:w w:val="88"/>
              </w:rPr>
              <w:t>$</w:t>
            </w:r>
          </w:p>
        </w:tc>
        <w:tc>
          <w:tcPr>
            <w:tcW w:w="1740" w:type="dxa"/>
            <w:vAlign w:val="bottom"/>
            <w:gridSpan w:val="2"/>
            <w:shd w:val="clear" w:color="auto" w:fill="EEEEEE"/>
          </w:tcPr>
          <w:p>
            <w:pPr>
              <w:jc w:val="right"/>
              <w:ind w:right="280"/>
              <w:spacing w:after="0"/>
              <w:rPr>
                <w:sz w:val="20"/>
                <w:szCs w:val="20"/>
                <w:color w:val="auto"/>
              </w:rPr>
            </w:pPr>
            <w:r>
              <w:rPr>
                <w:rFonts w:ascii="Times New Roman" w:cs="Times New Roman" w:eastAsia="Times New Roman" w:hAnsi="Times New Roman"/>
                <w:sz w:val="18"/>
                <w:szCs w:val="18"/>
                <w:color w:val="auto"/>
              </w:rPr>
              <w:t>(1.58)</w:t>
            </w:r>
          </w:p>
        </w:tc>
        <w:tc>
          <w:tcPr>
            <w:tcW w:w="18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72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8"/>
                <w:szCs w:val="18"/>
                <w:color w:val="auto"/>
              </w:rPr>
              <w:t>(1,020.36)</w:t>
            </w:r>
          </w:p>
        </w:tc>
        <w:tc>
          <w:tcPr>
            <w:tcW w:w="180" w:type="dxa"/>
            <w:vAlign w:val="bottom"/>
            <w:shd w:val="clear" w:color="auto" w:fill="EEEEEE"/>
          </w:tcPr>
          <w:p>
            <w:pPr>
              <w:jc w:val="right"/>
              <w:ind w:right="16"/>
              <w:spacing w:after="0"/>
              <w:rPr>
                <w:sz w:val="20"/>
                <w:szCs w:val="20"/>
                <w:color w:val="auto"/>
              </w:rPr>
            </w:pPr>
            <w:r>
              <w:rPr>
                <w:rFonts w:ascii="Times New Roman" w:cs="Times New Roman" w:eastAsia="Times New Roman" w:hAnsi="Times New Roman"/>
                <w:sz w:val="17"/>
                <w:szCs w:val="17"/>
                <w:color w:val="auto"/>
                <w:w w:val="70"/>
              </w:rPr>
              <w:t>$</w:t>
            </w:r>
          </w:p>
        </w:tc>
        <w:tc>
          <w:tcPr>
            <w:tcW w:w="170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8"/>
                <w:szCs w:val="18"/>
                <w:color w:val="auto"/>
              </w:rPr>
              <w:t>(18.93)</w:t>
            </w:r>
          </w:p>
        </w:tc>
        <w:tc>
          <w:tcPr>
            <w:tcW w:w="18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50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(12,223.27)</w:t>
            </w: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33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 w:name="page4"/>
    <w:bookmarkEnd w:id="3"/>
    <w:tbl>
      <w:tblPr>
        <w:tblLayout w:type="fixed"/>
        <w:tblInd w:w="0" w:type="dxa"/>
        <w:tblCellMar>
          <w:top w:w="0" w:type="dxa"/>
          <w:left w:w="0" w:type="dxa"/>
          <w:bottom w:w="0" w:type="dxa"/>
          <w:right w:w="0" w:type="dxa"/>
        </w:tblCellMar>
      </w:tblPr>
      <w:tr>
        <w:trPr>
          <w:trHeight w:val="238"/>
        </w:trPr>
        <w:tc>
          <w:tcPr>
            <w:tcW w:w="114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Item 9.01.</w:t>
            </w:r>
          </w:p>
        </w:tc>
        <w:tc>
          <w:tcPr>
            <w:tcW w:w="10100" w:type="dxa"/>
            <w:vAlign w:val="bottom"/>
            <w:gridSpan w:val="4"/>
          </w:tcPr>
          <w:p>
            <w:pPr>
              <w:ind w:left="160"/>
              <w:spacing w:after="0"/>
              <w:rPr>
                <w:sz w:val="20"/>
                <w:szCs w:val="20"/>
                <w:color w:val="auto"/>
              </w:rPr>
            </w:pPr>
            <w:r>
              <w:rPr>
                <w:rFonts w:ascii="Times New Roman" w:cs="Times New Roman" w:eastAsia="Times New Roman" w:hAnsi="Times New Roman"/>
                <w:sz w:val="18"/>
                <w:szCs w:val="18"/>
                <w:b w:val="1"/>
                <w:bCs w:val="1"/>
                <w:color w:val="auto"/>
              </w:rPr>
              <w:t>Financial Statements and Exhibits.</w:t>
            </w:r>
          </w:p>
        </w:tc>
      </w:tr>
      <w:tr>
        <w:trPr>
          <w:trHeight w:val="432"/>
        </w:trPr>
        <w:tc>
          <w:tcPr>
            <w:tcW w:w="114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b w:val="1"/>
                <w:bCs w:val="1"/>
                <w:color w:val="auto"/>
              </w:rPr>
              <w:t>No.</w:t>
            </w:r>
          </w:p>
        </w:tc>
        <w:tc>
          <w:tcPr>
            <w:tcW w:w="220" w:type="dxa"/>
            <w:vAlign w:val="bottom"/>
          </w:tcPr>
          <w:p>
            <w:pPr>
              <w:spacing w:after="0"/>
              <w:rPr>
                <w:sz w:val="24"/>
                <w:szCs w:val="24"/>
                <w:color w:val="auto"/>
              </w:rPr>
            </w:pPr>
          </w:p>
        </w:tc>
        <w:tc>
          <w:tcPr>
            <w:tcW w:w="9880" w:type="dxa"/>
            <w:vAlign w:val="bottom"/>
            <w:tcBorders>
              <w:bottom w:val="single" w:sz="8" w:color="auto"/>
            </w:tcBorders>
            <w:gridSpan w:val="3"/>
          </w:tcPr>
          <w:p>
            <w:pPr>
              <w:spacing w:after="0"/>
              <w:rPr>
                <w:sz w:val="20"/>
                <w:szCs w:val="20"/>
                <w:color w:val="auto"/>
              </w:rPr>
            </w:pPr>
            <w:r>
              <w:rPr>
                <w:rFonts w:ascii="Times New Roman" w:cs="Times New Roman" w:eastAsia="Times New Roman" w:hAnsi="Times New Roman"/>
                <w:sz w:val="18"/>
                <w:szCs w:val="18"/>
                <w:b w:val="1"/>
                <w:bCs w:val="1"/>
                <w:color w:val="auto"/>
              </w:rPr>
              <w:t>Description</w:t>
            </w:r>
          </w:p>
        </w:tc>
      </w:tr>
      <w:tr>
        <w:trPr>
          <w:trHeight w:val="169"/>
        </w:trPr>
        <w:tc>
          <w:tcPr>
            <w:tcW w:w="1140" w:type="dxa"/>
            <w:vAlign w:val="bottom"/>
          </w:tcPr>
          <w:p>
            <w:pPr>
              <w:spacing w:after="0" w:line="169" w:lineRule="exact"/>
              <w:rPr>
                <w:sz w:val="20"/>
                <w:szCs w:val="20"/>
                <w:color w:val="auto"/>
              </w:rPr>
            </w:pPr>
            <w:r>
              <w:rPr>
                <w:rFonts w:ascii="Times New Roman" w:cs="Times New Roman" w:eastAsia="Times New Roman" w:hAnsi="Times New Roman"/>
                <w:sz w:val="18"/>
                <w:szCs w:val="18"/>
                <w:color w:val="auto"/>
              </w:rPr>
              <w:t>3.1</w:t>
            </w:r>
          </w:p>
        </w:tc>
        <w:tc>
          <w:tcPr>
            <w:tcW w:w="220" w:type="dxa"/>
            <w:vAlign w:val="bottom"/>
          </w:tcPr>
          <w:p>
            <w:pPr>
              <w:spacing w:after="0"/>
              <w:rPr>
                <w:sz w:val="14"/>
                <w:szCs w:val="14"/>
                <w:color w:val="auto"/>
              </w:rPr>
            </w:pPr>
          </w:p>
        </w:tc>
        <w:tc>
          <w:tcPr>
            <w:tcW w:w="9880" w:type="dxa"/>
            <w:vAlign w:val="bottom"/>
            <w:gridSpan w:val="3"/>
          </w:tcPr>
          <w:p>
            <w:pPr>
              <w:spacing w:after="0" w:line="169" w:lineRule="exact"/>
              <w:rPr>
                <w:sz w:val="20"/>
                <w:szCs w:val="20"/>
                <w:color w:val="auto"/>
              </w:rPr>
            </w:pPr>
            <w:r>
              <w:rPr>
                <w:rFonts w:ascii="Times New Roman" w:cs="Times New Roman" w:eastAsia="Times New Roman" w:hAnsi="Times New Roman"/>
                <w:sz w:val="18"/>
                <w:szCs w:val="18"/>
                <w:color w:val="0000EE"/>
              </w:rPr>
              <w:t>Certificate of Change</w:t>
            </w:r>
          </w:p>
        </w:tc>
      </w:tr>
      <w:tr>
        <w:trPr>
          <w:trHeight w:val="20"/>
        </w:trPr>
        <w:tc>
          <w:tcPr>
            <w:tcW w:w="114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540" w:type="dxa"/>
            <w:vAlign w:val="bottom"/>
            <w:shd w:val="clear" w:color="auto" w:fill="0000EE"/>
          </w:tcPr>
          <w:p>
            <w:pPr>
              <w:spacing w:after="0" w:line="20" w:lineRule="exact"/>
              <w:rPr>
                <w:sz w:val="1"/>
                <w:szCs w:val="1"/>
                <w:color w:val="auto"/>
              </w:rPr>
            </w:pPr>
          </w:p>
        </w:tc>
        <w:tc>
          <w:tcPr>
            <w:tcW w:w="900" w:type="dxa"/>
            <w:vAlign w:val="bottom"/>
          </w:tcPr>
          <w:p>
            <w:pPr>
              <w:spacing w:after="0" w:line="20" w:lineRule="exact"/>
              <w:rPr>
                <w:sz w:val="1"/>
                <w:szCs w:val="1"/>
                <w:color w:val="auto"/>
              </w:rPr>
            </w:pPr>
          </w:p>
        </w:tc>
        <w:tc>
          <w:tcPr>
            <w:tcW w:w="7440" w:type="dxa"/>
            <w:vAlign w:val="bottom"/>
          </w:tcPr>
          <w:p>
            <w:pPr>
              <w:spacing w:after="0" w:line="20" w:lineRule="exact"/>
              <w:rPr>
                <w:sz w:val="1"/>
                <w:szCs w:val="1"/>
                <w:color w:val="auto"/>
              </w:rPr>
            </w:pPr>
          </w:p>
        </w:tc>
      </w:tr>
      <w:tr>
        <w:trPr>
          <w:trHeight w:val="196"/>
        </w:trPr>
        <w:tc>
          <w:tcPr>
            <w:tcW w:w="114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99.1</w:t>
            </w:r>
          </w:p>
        </w:tc>
        <w:tc>
          <w:tcPr>
            <w:tcW w:w="220" w:type="dxa"/>
            <w:vAlign w:val="bottom"/>
          </w:tcPr>
          <w:p>
            <w:pPr>
              <w:spacing w:after="0"/>
              <w:rPr>
                <w:sz w:val="17"/>
                <w:szCs w:val="17"/>
                <w:color w:val="auto"/>
              </w:rPr>
            </w:pPr>
          </w:p>
        </w:tc>
        <w:tc>
          <w:tcPr>
            <w:tcW w:w="2440" w:type="dxa"/>
            <w:vAlign w:val="bottom"/>
            <w:tcBorders>
              <w:bottom w:val="single" w:sz="8" w:color="0000EE"/>
            </w:tcBorders>
            <w:gridSpan w:val="2"/>
          </w:tcPr>
          <w:p>
            <w:pPr>
              <w:spacing w:after="0" w:line="196" w:lineRule="exact"/>
              <w:rPr>
                <w:sz w:val="20"/>
                <w:szCs w:val="20"/>
                <w:color w:val="auto"/>
              </w:rPr>
            </w:pPr>
            <w:r>
              <w:rPr>
                <w:rFonts w:ascii="Times New Roman" w:cs="Times New Roman" w:eastAsia="Times New Roman" w:hAnsi="Times New Roman"/>
                <w:sz w:val="18"/>
                <w:szCs w:val="18"/>
                <w:color w:val="0000EE"/>
                <w:w w:val="99"/>
              </w:rPr>
              <w:t>Press Release dated July 18, 2025</w:t>
            </w:r>
          </w:p>
        </w:tc>
        <w:tc>
          <w:tcPr>
            <w:tcW w:w="7440" w:type="dxa"/>
            <w:vAlign w:val="bottom"/>
          </w:tcPr>
          <w:p>
            <w:pPr>
              <w:spacing w:after="0"/>
              <w:rPr>
                <w:sz w:val="17"/>
                <w:szCs w:val="17"/>
                <w:color w:val="auto"/>
              </w:rPr>
            </w:pPr>
          </w:p>
        </w:tc>
      </w:tr>
      <w:tr>
        <w:trPr>
          <w:trHeight w:val="237"/>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104</w:t>
            </w:r>
          </w:p>
        </w:tc>
        <w:tc>
          <w:tcPr>
            <w:tcW w:w="220" w:type="dxa"/>
            <w:vAlign w:val="bottom"/>
          </w:tcPr>
          <w:p>
            <w:pPr>
              <w:spacing w:after="0"/>
              <w:rPr>
                <w:sz w:val="20"/>
                <w:szCs w:val="20"/>
                <w:color w:val="auto"/>
              </w:rPr>
            </w:pPr>
          </w:p>
        </w:tc>
        <w:tc>
          <w:tcPr>
            <w:tcW w:w="9880" w:type="dxa"/>
            <w:vAlign w:val="bottom"/>
            <w:gridSpan w:val="3"/>
          </w:tcPr>
          <w:p>
            <w:pPr>
              <w:spacing w:after="0"/>
              <w:rPr>
                <w:sz w:val="20"/>
                <w:szCs w:val="20"/>
                <w:color w:val="auto"/>
              </w:rPr>
            </w:pPr>
            <w:r>
              <w:rPr>
                <w:rFonts w:ascii="Times New Roman" w:cs="Times New Roman" w:eastAsia="Times New Roman" w:hAnsi="Times New Roman"/>
                <w:sz w:val="18"/>
                <w:szCs w:val="18"/>
                <w:color w:val="auto"/>
              </w:rPr>
              <w:t>Cover Page Interactive Data File (embedded within the Inline XBRL document)</w:t>
            </w: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1008" w:right="339" w:bottom="1440" w:gutter="0" w:footer="0" w:header="0"/>
        </w:sectPr>
      </w:pPr>
    </w:p>
    <w:bookmarkStart w:id="4" w:name="page5"/>
    <w:bookmarkEnd w:id="4"/>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Signature</w:t>
      </w:r>
    </w:p>
    <w:p>
      <w:pPr>
        <w:spacing w:after="0" w:line="229" w:lineRule="exact"/>
        <w:rPr>
          <w:sz w:val="20"/>
          <w:szCs w:val="20"/>
          <w:color w:val="auto"/>
        </w:rPr>
      </w:pPr>
    </w:p>
    <w:p>
      <w:pPr>
        <w:ind w:firstLine="486"/>
        <w:spacing w:after="0" w:line="282" w:lineRule="auto"/>
        <w:rPr>
          <w:sz w:val="20"/>
          <w:szCs w:val="20"/>
          <w:color w:val="auto"/>
        </w:rPr>
      </w:pPr>
      <w:r>
        <w:rPr>
          <w:rFonts w:ascii="Times New Roman" w:cs="Times New Roman" w:eastAsia="Times New Roman" w:hAnsi="Times New Roman"/>
          <w:sz w:val="18"/>
          <w:szCs w:val="18"/>
          <w:color w:val="auto"/>
        </w:rPr>
        <w:t>Pursuant to the requirements of the Securities Exchange Act of 1934, the registrant has duly caused this report to be signed on its behalf by the undersigned hereunto duly authorized.</w:t>
      </w:r>
    </w:p>
    <w:p>
      <w:pPr>
        <w:spacing w:after="0" w:line="378" w:lineRule="exact"/>
        <w:rPr>
          <w:sz w:val="20"/>
          <w:szCs w:val="20"/>
          <w:color w:val="auto"/>
        </w:rPr>
      </w:pPr>
    </w:p>
    <w:p>
      <w:pPr>
        <w:ind w:left="5740"/>
        <w:spacing w:after="0"/>
        <w:rPr>
          <w:sz w:val="20"/>
          <w:szCs w:val="20"/>
          <w:color w:val="auto"/>
        </w:rPr>
      </w:pPr>
      <w:r>
        <w:rPr>
          <w:rFonts w:ascii="Times New Roman" w:cs="Times New Roman" w:eastAsia="Times New Roman" w:hAnsi="Times New Roman"/>
          <w:sz w:val="18"/>
          <w:szCs w:val="18"/>
          <w:color w:val="auto"/>
        </w:rPr>
        <w:t>CNS Pharmaceuticals, Inc.</w:t>
      </w:r>
    </w:p>
    <w:p>
      <w:pPr>
        <w:spacing w:after="0" w:line="200" w:lineRule="exact"/>
        <w:rPr>
          <w:sz w:val="20"/>
          <w:szCs w:val="20"/>
          <w:color w:val="auto"/>
        </w:rPr>
      </w:pPr>
    </w:p>
    <w:p>
      <w:pPr>
        <w:spacing w:after="0" w:line="241" w:lineRule="exact"/>
        <w:rPr>
          <w:sz w:val="20"/>
          <w:szCs w:val="20"/>
          <w:color w:val="auto"/>
        </w:rPr>
      </w:pPr>
    </w:p>
    <w:p>
      <w:pPr>
        <w:ind w:left="5740"/>
        <w:spacing w:after="0"/>
        <w:rPr>
          <w:sz w:val="20"/>
          <w:szCs w:val="20"/>
          <w:color w:val="auto"/>
        </w:rPr>
      </w:pPr>
      <w:r>
        <w:rPr>
          <w:rFonts w:ascii="Times New Roman" w:cs="Times New Roman" w:eastAsia="Times New Roman" w:hAnsi="Times New Roman"/>
          <w:sz w:val="18"/>
          <w:szCs w:val="18"/>
          <w:color w:val="auto"/>
        </w:rPr>
        <w:t>By: /s/ Chris Downs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3862705</wp:posOffset>
            </wp:positionH>
            <wp:positionV relativeFrom="paragraph">
              <wp:posOffset>-7620</wp:posOffset>
            </wp:positionV>
            <wp:extent cx="1421765" cy="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1421765" cy="8255"/>
                    </a:xfrm>
                    <a:prstGeom prst="rect">
                      <a:avLst/>
                    </a:prstGeom>
                    <a:noFill/>
                  </pic:spPr>
                </pic:pic>
              </a:graphicData>
            </a:graphic>
          </wp:anchor>
        </w:drawing>
      </w:r>
    </w:p>
    <w:p>
      <w:pPr>
        <w:spacing w:after="0" w:line="7" w:lineRule="exact"/>
        <w:rPr>
          <w:sz w:val="20"/>
          <w:szCs w:val="20"/>
          <w:color w:val="auto"/>
        </w:rPr>
      </w:pPr>
    </w:p>
    <w:p>
      <w:pPr>
        <w:ind w:left="6080"/>
        <w:spacing w:after="0"/>
        <w:rPr>
          <w:sz w:val="20"/>
          <w:szCs w:val="20"/>
          <w:color w:val="auto"/>
        </w:rPr>
      </w:pPr>
      <w:r>
        <w:rPr>
          <w:rFonts w:ascii="Times New Roman" w:cs="Times New Roman" w:eastAsia="Times New Roman" w:hAnsi="Times New Roman"/>
          <w:sz w:val="18"/>
          <w:szCs w:val="18"/>
          <w:color w:val="auto"/>
        </w:rPr>
        <w:t>Chris Downs</w:t>
      </w:r>
    </w:p>
    <w:p>
      <w:pPr>
        <w:spacing w:after="0" w:line="9" w:lineRule="exact"/>
        <w:rPr>
          <w:sz w:val="20"/>
          <w:szCs w:val="20"/>
          <w:color w:val="auto"/>
        </w:rPr>
      </w:pPr>
    </w:p>
    <w:p>
      <w:pPr>
        <w:ind w:left="6080"/>
        <w:spacing w:after="0"/>
        <w:rPr>
          <w:sz w:val="20"/>
          <w:szCs w:val="20"/>
          <w:color w:val="auto"/>
        </w:rPr>
      </w:pPr>
      <w:r>
        <w:rPr>
          <w:rFonts w:ascii="Times New Roman" w:cs="Times New Roman" w:eastAsia="Times New Roman" w:hAnsi="Times New Roman"/>
          <w:sz w:val="18"/>
          <w:szCs w:val="18"/>
          <w:color w:val="auto"/>
        </w:rPr>
        <w:t>Chief Financial Officer</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Dated: July 22, 2025</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5" w:name="page6"/>
    <w:bookmarkEnd w:id="5"/>
    <w:p>
      <w:pPr>
        <w:spacing w:after="0"/>
        <w:rPr>
          <w:sz w:val="20"/>
          <w:szCs w:val="20"/>
          <w:color w:val="auto"/>
        </w:rPr>
      </w:pPr>
      <w:r>
        <w:rPr>
          <w:rFonts w:ascii="Times New Roman" w:cs="Times New Roman" w:eastAsia="Times New Roman" w:hAnsi="Times New Roman"/>
          <w:sz w:val="21"/>
          <w:szCs w:val="21"/>
          <w:b w:val="1"/>
          <w:bCs w:val="1"/>
          <w:color w:val="auto"/>
        </w:rPr>
        <w:t>Exhibit 3.1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922020</wp:posOffset>
            </wp:positionH>
            <wp:positionV relativeFrom="paragraph">
              <wp:posOffset>330200</wp:posOffset>
            </wp:positionV>
            <wp:extent cx="5306060" cy="69519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5306060" cy="6951980"/>
                    </a:xfrm>
                    <a:prstGeom prst="rect">
                      <a:avLst/>
                    </a:prstGeom>
                    <a:noFill/>
                  </pic:spPr>
                </pic:pic>
              </a:graphicData>
            </a:graphic>
          </wp:anchor>
        </w:drawing>
      </w:r>
    </w:p>
    <w:p>
      <w:pPr>
        <w:sectPr>
          <w:pgSz w:w="11900" w:h="16838" w:orient="portrait"/>
          <w:cols w:equalWidth="0" w:num="1">
            <w:col w:w="10139"/>
          </w:cols>
          <w:pgMar w:left="320" w:top="108" w:right="1440" w:bottom="1440" w:gutter="0" w:footer="0" w:header="0"/>
        </w:sectPr>
      </w:pPr>
    </w:p>
    <w:bookmarkStart w:id="6" w:name="page7"/>
    <w:bookmarkEnd w:id="6"/>
    <w:p>
      <w:pPr>
        <w:spacing w:after="0"/>
        <w:rPr>
          <w:sz w:val="20"/>
          <w:szCs w:val="20"/>
          <w:color w:val="auto"/>
        </w:rPr>
      </w:pPr>
      <w:r>
        <w:rPr>
          <w:rFonts w:ascii="Times New Roman" w:cs="Times New Roman" w:eastAsia="Times New Roman" w:hAnsi="Times New Roman"/>
          <w:sz w:val="22"/>
          <w:szCs w:val="22"/>
          <w:b w:val="1"/>
          <w:bCs w:val="1"/>
          <w:color w:val="auto"/>
        </w:rPr>
        <w:t>Exhibit 99.1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5225415</wp:posOffset>
            </wp:positionH>
            <wp:positionV relativeFrom="paragraph">
              <wp:posOffset>168275</wp:posOffset>
            </wp:positionV>
            <wp:extent cx="1911350" cy="7289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1911350" cy="72898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5"/>
          <w:szCs w:val="25"/>
          <w:b w:val="1"/>
          <w:bCs w:val="1"/>
          <w:color w:val="auto"/>
        </w:rPr>
        <w:t>CNS Pharmaceuticals Announces Reverse Stock Split</w:t>
      </w:r>
    </w:p>
    <w:p>
      <w:pPr>
        <w:spacing w:after="0" w:line="232" w:lineRule="exact"/>
        <w:rPr>
          <w:sz w:val="20"/>
          <w:szCs w:val="20"/>
          <w:color w:val="auto"/>
        </w:rPr>
      </w:pPr>
    </w:p>
    <w:p>
      <w:pPr>
        <w:jc w:val="both"/>
        <w:spacing w:after="0" w:line="262" w:lineRule="auto"/>
        <w:rPr>
          <w:sz w:val="20"/>
          <w:szCs w:val="20"/>
          <w:color w:val="auto"/>
        </w:rPr>
      </w:pPr>
      <w:r>
        <w:rPr>
          <w:rFonts w:ascii="Times New Roman" w:cs="Times New Roman" w:eastAsia="Times New Roman" w:hAnsi="Times New Roman"/>
          <w:sz w:val="18"/>
          <w:szCs w:val="18"/>
          <w:b w:val="1"/>
          <w:bCs w:val="1"/>
          <w:color w:val="auto"/>
        </w:rPr>
        <w:t xml:space="preserve">HOUSTON, TX (July 18, 2025) – CNS Pharmaceuticals, Inc. (NASDAQ: CNSP) </w:t>
      </w:r>
      <w:r>
        <w:rPr>
          <w:rFonts w:ascii="Times New Roman" w:cs="Times New Roman" w:eastAsia="Times New Roman" w:hAnsi="Times New Roman"/>
          <w:sz w:val="18"/>
          <w:szCs w:val="18"/>
          <w:color w:val="auto"/>
        </w:rPr>
        <w:t>(“CNS” or the “Company”), a biopharmaceutical company</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specializing in the development of novel treatments for primary and metastatic cancers in the brain and central nervous system, today announced a 1-for-12 reverse split of its common stock. Beginning on July 22, 2025, the Company’s common stock will continue to trade on The Nasdaq Capital Market (“Nasdaq”) on a split adjusted basis under the trading symbol “CNSP” but will trade under the following new CUSIP number: 18978H508.</w:t>
      </w:r>
    </w:p>
    <w:p>
      <w:pPr>
        <w:spacing w:after="0" w:line="180"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As a result of the reverse stock split, every 12 shares of common stock issued and outstanding as of the effective date will be automatically combined into one share of common stock. Outstanding warrants, equity-based awards and other outstanding equity rights will be proportionately adjusted by dividing the shares of common stock underlying the securities by 12 and multiplying the exercise/conversion price, as the case may be, by 12. No fractional shares will be issued if, as a result of the reverse stock split, a stockholder would otherwise become entitled to a fractional share because the number of shares of common stock they hold before the reverse stock split is not evenly divisible by the split ratio. Instead, each stockholder will be entitled to receive a cash payment in lieu of a fractional share. The par value of the common stock will remain unchanged at $0.001 per share after the reverse split. The number of authorized shares of common stock will be proportionately reduced to 25 million shares. The reverse split affects all stockholders uniformly and will not alter any stockholder’s percentage interest in the Company’s equity, except to the extent that the reverse split results in some stockholders owning a fractional share as described above.</w:t>
      </w:r>
    </w:p>
    <w:p>
      <w:pPr>
        <w:spacing w:after="0" w:line="18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About CNS Pharmaceuticals, Inc.</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CNS Pharmaceuticals is a clinical-stage pharmaceutical company developing a pipeline of anti-cancer drug candidates for the treatment of primary and metastatic cancers of the brain and central nervous system.</w:t>
      </w:r>
    </w:p>
    <w:p>
      <w:pPr>
        <w:spacing w:after="0" w:line="162"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The Company's drug candidate TPI 287 is an abeotaxane, which stabilizes microtubules and inhibits cell division, causing apoptosis and cell death. The initial clinical efficacy data suggest TPI 287 has the potential to cross the blood-brain barrier and treat CNS tumors. TPI 287 also has been tested in over 350 patients in clinical trials as a monotherapy and in combination with bevacizumab for the treatment of a range of diseases or conditions, including recurrent glioblastoma, recurrent neuroblastoma and medulloblastoma, advanced malignancies, advanced unresectable pancreatic cancer, metastatic melanoma, and breast cancer metastatic to the brain. To date TPI 287 appears have both an excellent safety profile and high tolerability among patients.</w:t>
      </w:r>
    </w:p>
    <w:p>
      <w:pPr>
        <w:spacing w:after="0" w:line="18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For more information, please visit www.CNSPharma.com, and connect with the Company on X, Facebook, and LinkedIn.</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Forward-Looking Statements</w:t>
      </w:r>
    </w:p>
    <w:p>
      <w:pPr>
        <w:spacing w:after="0" w:line="229"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Some of the statements in this press release are forward-looking statements within the meaning of Section 27A of the Securities Act of 1933, Section 21E of the Securities Exchange Act of 1934 and the Private Securities Litigation Reform Act of 1995, which involve risks and uncertainties. Forward-looking statements in this press release include, without limitation, the timing and completion of the reverse split. These statements relate to future events, future expectations, plans and prospects. Although CNS believes the expectations reflected in such forward-looking statements are reasonable as of the date made, expectations may prove to have been materially different from the results expressed or implied by such forward-looking statements. CNS has attempted to identify forward-looking statements by terminology including ''believes,'' ''estimates,'' ''anticipates,'' ''expects,'' ''plans,'' ''projects,'' ''intends,'' ''potential,'' ''may,'' ''could,'' ''might,'' ''will,'' ''should,'' ''approximately'' or other words that convey uncertainty of future events or outcomes to identify these forward-looking statements. These statements are only predictions and involve known and unknown risks, uncertainties and other factors, including those discussed under Item 1A. "Risk Factors" in CNS's most recently filed Form 10-K filed with the Securities and Exchange Commission ("SEC") and updated from time to time in its Form 10-Q filings and in its other public filings with the SEC. Any forward-looking statements contained in this press release speak only as of its date. CNS undertakes no obligation to update any forward-looking statements contained in this press release to reflect events or circumstances occurring after its date or to reflect the occurrence of unanticipated events.</w:t>
      </w:r>
    </w:p>
    <w:p>
      <w:pPr>
        <w:spacing w:after="0" w:line="18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CONTACTS: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Investor Relations Contact</w:t>
      </w:r>
    </w:p>
    <w:p>
      <w:pPr>
        <w:spacing w:after="0" w:line="3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JTC Team, LLC</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Jenene Thomas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908.824.0775</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CNSP@jtcir.com</w:t>
      </w:r>
    </w:p>
    <w:sectPr>
      <w:pgSz w:w="11900" w:h="16838" w:orient="portrait"/>
      <w:cols w:equalWidth="0" w:num="1">
        <w:col w:w="11240"/>
      </w:cols>
      <w:pgMar w:left="320" w:top="108" w:right="339"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327B23C6"/>
    <w:multiLevelType w:val="hybridMultilevel"/>
    <w:lvl w:ilvl="0">
      <w:lvlJc w:val="left"/>
      <w:lvlText w:val="☐"/>
      <w:numFmt w:val="bullet"/>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jpeg"/><Relationship Id="rId14" Type="http://schemas.openxmlformats.org/officeDocument/2006/relationships/image" Target="media/image7.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2025-07-22T15:42:21Z</dcterms:created>
  <dcterms:modified xsi:type="dcterms:W3CDTF">2025-07-22T15:42:21Z</dcterms:modified>
</cp:coreProperties>
</file>