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15,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7.01.</w:t>
      </w:r>
      <w:r>
        <w:rPr>
          <w:sz w:val="20"/>
          <w:szCs w:val="20"/>
          <w:color w:val="auto"/>
        </w:rPr>
        <w:tab/>
      </w:r>
      <w:r>
        <w:rPr>
          <w:rFonts w:ascii="Times New Roman" w:cs="Times New Roman" w:eastAsia="Times New Roman" w:hAnsi="Times New Roman"/>
          <w:sz w:val="18"/>
          <w:szCs w:val="18"/>
          <w:b w:val="1"/>
          <w:bCs w:val="1"/>
          <w:color w:val="auto"/>
        </w:rPr>
        <w:t>Regulation FD Disclosure.</w:t>
      </w:r>
    </w:p>
    <w:p>
      <w:pPr>
        <w:spacing w:after="0" w:line="229" w:lineRule="exact"/>
        <w:rPr>
          <w:sz w:val="20"/>
          <w:szCs w:val="20"/>
          <w:color w:val="auto"/>
        </w:rPr>
      </w:pPr>
    </w:p>
    <w:p>
      <w:pPr>
        <w:ind w:left="500"/>
        <w:spacing w:after="0"/>
        <w:rPr>
          <w:sz w:val="20"/>
          <w:szCs w:val="20"/>
          <w:color w:val="auto"/>
        </w:rPr>
      </w:pPr>
      <w:r>
        <w:rPr>
          <w:rFonts w:ascii="Times New Roman" w:cs="Times New Roman" w:eastAsia="Times New Roman" w:hAnsi="Times New Roman"/>
          <w:sz w:val="18"/>
          <w:szCs w:val="18"/>
          <w:color w:val="auto"/>
        </w:rPr>
        <w:t>On July 15, 2025, CNS Pharmaceuticals, Inc. (the “Company”) posted the investor presentation set forth in Exhibit 99.1 on its website.</w:t>
      </w:r>
    </w:p>
    <w:p>
      <w:pPr>
        <w:spacing w:after="0" w:line="225" w:lineRule="exact"/>
        <w:rPr>
          <w:sz w:val="20"/>
          <w:szCs w:val="20"/>
          <w:color w:val="auto"/>
        </w:rPr>
      </w:pPr>
    </w:p>
    <w:p>
      <w:pPr>
        <w:jc w:val="both"/>
        <w:ind w:firstLine="486"/>
        <w:spacing w:after="0" w:line="266" w:lineRule="auto"/>
        <w:rPr>
          <w:sz w:val="20"/>
          <w:szCs w:val="20"/>
          <w:color w:val="auto"/>
        </w:rPr>
      </w:pPr>
      <w:r>
        <w:rPr>
          <w:rFonts w:ascii="Times New Roman" w:cs="Times New Roman" w:eastAsia="Times New Roman" w:hAnsi="Times New Roman"/>
          <w:sz w:val="18"/>
          <w:szCs w:val="18"/>
          <w:color w:val="auto"/>
        </w:rPr>
        <w:t>The information contained in Item 7.01 of this Current Report on Form 8-K is being furnished and shall not be “filed” for the purpose of the Securities Exchange Act of 1934, as amended (“Exchange Act”), nor shall it be incorporated by reference in any filing under the Exchange Act or the Securities Act of 1933, as amended (“Securities Act”), unless specifically identified therein as being incorporated by reference.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1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9.01.</w:t>
            </w:r>
          </w:p>
        </w:tc>
        <w:tc>
          <w:tcPr>
            <w:tcW w:w="10100" w:type="dxa"/>
            <w:vAlign w:val="bottom"/>
            <w:gridSpan w:val="3"/>
          </w:tcPr>
          <w:p>
            <w:pPr>
              <w:ind w:left="160"/>
              <w:spacing w:after="0"/>
              <w:rPr>
                <w:sz w:val="20"/>
                <w:szCs w:val="20"/>
                <w:color w:val="auto"/>
              </w:rPr>
            </w:pPr>
            <w:r>
              <w:rPr>
                <w:rFonts w:ascii="Times New Roman" w:cs="Times New Roman" w:eastAsia="Times New Roman" w:hAnsi="Times New Roman"/>
                <w:sz w:val="18"/>
                <w:szCs w:val="18"/>
                <w:b w:val="1"/>
                <w:bCs w:val="1"/>
                <w:color w:val="auto"/>
              </w:rPr>
              <w:t>Financial Statements and Exhibits.</w:t>
            </w:r>
          </w:p>
        </w:tc>
      </w:tr>
      <w:tr>
        <w:trPr>
          <w:trHeight w:val="432"/>
        </w:trPr>
        <w:tc>
          <w:tcPr>
            <w:tcW w:w="11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No.</w:t>
            </w:r>
          </w:p>
        </w:tc>
        <w:tc>
          <w:tcPr>
            <w:tcW w:w="220" w:type="dxa"/>
            <w:vAlign w:val="bottom"/>
          </w:tcPr>
          <w:p>
            <w:pPr>
              <w:spacing w:after="0"/>
              <w:rPr>
                <w:sz w:val="24"/>
                <w:szCs w:val="24"/>
                <w:color w:val="auto"/>
              </w:rPr>
            </w:pPr>
          </w:p>
        </w:tc>
        <w:tc>
          <w:tcPr>
            <w:tcW w:w="988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169"/>
        </w:trPr>
        <w:tc>
          <w:tcPr>
            <w:tcW w:w="1140" w:type="dxa"/>
            <w:vAlign w:val="bottom"/>
          </w:tcPr>
          <w:p>
            <w:pPr>
              <w:spacing w:after="0" w:line="169" w:lineRule="exact"/>
              <w:rPr>
                <w:sz w:val="20"/>
                <w:szCs w:val="20"/>
                <w:color w:val="auto"/>
              </w:rPr>
            </w:pPr>
            <w:r>
              <w:rPr>
                <w:rFonts w:ascii="Times New Roman" w:cs="Times New Roman" w:eastAsia="Times New Roman" w:hAnsi="Times New Roman"/>
                <w:sz w:val="18"/>
                <w:szCs w:val="18"/>
                <w:color w:val="auto"/>
              </w:rPr>
              <w:t>99.1</w:t>
            </w:r>
          </w:p>
        </w:tc>
        <w:tc>
          <w:tcPr>
            <w:tcW w:w="220" w:type="dxa"/>
            <w:vAlign w:val="bottom"/>
          </w:tcPr>
          <w:p>
            <w:pPr>
              <w:spacing w:after="0"/>
              <w:rPr>
                <w:sz w:val="14"/>
                <w:szCs w:val="14"/>
                <w:color w:val="auto"/>
              </w:rPr>
            </w:pPr>
          </w:p>
        </w:tc>
        <w:tc>
          <w:tcPr>
            <w:tcW w:w="2080" w:type="dxa"/>
            <w:vAlign w:val="bottom"/>
            <w:tcBorders>
              <w:bottom w:val="single" w:sz="8" w:color="0000EE"/>
            </w:tcBorders>
          </w:tcPr>
          <w:p>
            <w:pPr>
              <w:spacing w:after="0" w:line="169" w:lineRule="exact"/>
              <w:rPr>
                <w:sz w:val="20"/>
                <w:szCs w:val="20"/>
                <w:color w:val="auto"/>
              </w:rPr>
            </w:pPr>
            <w:r>
              <w:rPr>
                <w:rFonts w:ascii="Times New Roman" w:cs="Times New Roman" w:eastAsia="Times New Roman" w:hAnsi="Times New Roman"/>
                <w:sz w:val="18"/>
                <w:szCs w:val="18"/>
                <w:color w:val="0000EE"/>
                <w:w w:val="99"/>
              </w:rPr>
              <w:t>Presentation dated July 2025</w:t>
            </w:r>
          </w:p>
        </w:tc>
        <w:tc>
          <w:tcPr>
            <w:tcW w:w="7800" w:type="dxa"/>
            <w:vAlign w:val="bottom"/>
          </w:tcPr>
          <w:p>
            <w:pPr>
              <w:spacing w:after="0"/>
              <w:rPr>
                <w:sz w:val="14"/>
                <w:szCs w:val="14"/>
                <w:color w:val="auto"/>
              </w:rPr>
            </w:pPr>
          </w:p>
        </w:tc>
      </w:tr>
      <w:tr>
        <w:trPr>
          <w:trHeight w:val="23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220" w:type="dxa"/>
            <w:vAlign w:val="bottom"/>
          </w:tcPr>
          <w:p>
            <w:pPr>
              <w:spacing w:after="0"/>
              <w:rPr>
                <w:sz w:val="20"/>
                <w:szCs w:val="20"/>
                <w:color w:val="auto"/>
              </w:rPr>
            </w:pPr>
          </w:p>
        </w:tc>
        <w:tc>
          <w:tcPr>
            <w:tcW w:w="9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15,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1"/>
          <w:szCs w:val="21"/>
          <w:b w:val="1"/>
          <w:bCs w:val="1"/>
          <w:color w:val="auto"/>
        </w:rPr>
        <w:t>Exhibit 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175895</wp:posOffset>
            </wp:positionV>
            <wp:extent cx="6858000" cy="38487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0" w:num="1">
            <w:col w:w="10139"/>
          </w:cols>
          <w:pgMar w:left="320" w:top="108" w:right="1440" w:bottom="1440" w:gutter="0" w:footer="0" w:header="0"/>
        </w:sectPr>
      </w:pPr>
    </w:p>
    <w:bookmarkStart w:id="4" w:name="page5"/>
    <w:bookmarkEnd w:id="4"/>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5" w:name="page6"/>
    <w:bookmarkEnd w:id="5"/>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576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6" w:name="page7"/>
    <w:bookmarkEnd w:id="6"/>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7" w:name="page8"/>
    <w:bookmarkEnd w:id="7"/>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8" w:name="page9"/>
    <w:bookmarkEnd w:id="8"/>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9" w:name="page10"/>
    <w:bookmarkEnd w:id="9"/>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0" w:name="page11"/>
    <w:bookmarkEnd w:id="10"/>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1" w:name="page12"/>
    <w:bookmarkEnd w:id="11"/>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576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2" w:name="page13"/>
    <w:bookmarkEnd w:id="12"/>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3" w:name="page14"/>
    <w:bookmarkEnd w:id="13"/>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4" w:name="page15"/>
    <w:bookmarkEnd w:id="14"/>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5" w:name="page16"/>
    <w:bookmarkEnd w:id="15"/>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6" w:name="page17"/>
    <w:bookmarkEnd w:id="16"/>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7" w:name="page18"/>
    <w:bookmarkEnd w:id="17"/>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576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8" w:name="page19"/>
    <w:bookmarkEnd w:id="18"/>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9" w:name="page20"/>
    <w:bookmarkEnd w:id="19"/>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0" w:name="page21"/>
    <w:bookmarkEnd w:id="20"/>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1" w:name="page22"/>
    <w:bookmarkEnd w:id="21"/>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2" w:name="page23"/>
    <w:bookmarkEnd w:id="22"/>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311785</wp:posOffset>
            </wp:positionV>
            <wp:extent cx="6858000" cy="38487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2025-07-15T16:22:37Z</dcterms:created>
  <dcterms:modified xsi:type="dcterms:W3CDTF">2025-07-15T16:22:37Z</dcterms:modified>
</cp:coreProperties>
</file>