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8-K</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CURRENT REPORT</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Exchange Act of 1934</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7"/>
          <w:szCs w:val="17"/>
          <w:b w:val="1"/>
          <w:bCs w:val="1"/>
          <w:color w:val="auto"/>
        </w:rPr>
        <w:t>Date of Report (Date of earliest event reported): April 9, 2025</w:t>
      </w:r>
    </w:p>
    <w:p>
      <w:pPr>
        <w:spacing w:after="0" w:line="43"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its charter)</w:t>
      </w:r>
    </w:p>
    <w:p>
      <w:pPr>
        <w:spacing w:after="0" w:line="7"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ectPr>
          <w:pgSz w:w="11900" w:h="16838" w:orient="portrait"/>
          <w:cols w:equalWidth="0" w:num="1">
            <w:col w:w="11240"/>
          </w:cols>
          <w:pgMar w:left="320" w:top="441" w:right="339" w:bottom="1440" w:gutter="0" w:footer="0" w:header="0"/>
        </w:sectPr>
      </w:pPr>
    </w:p>
    <w:p>
      <w:pPr>
        <w:spacing w:after="0" w:line="203"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8"/>
          <w:szCs w:val="18"/>
          <w:b w:val="1"/>
          <w:bCs w:val="1"/>
          <w:color w:val="auto"/>
        </w:rPr>
        <w:t>Nevada</w:t>
      </w:r>
    </w:p>
    <w:p>
      <w:pPr>
        <w:spacing w:after="0" w:line="31"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7"/>
          <w:szCs w:val="17"/>
          <w:color w:val="auto"/>
        </w:rPr>
        <w:t>(State or other jurisdiction of</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8"/>
          <w:szCs w:val="18"/>
          <w:b w:val="1"/>
          <w:bCs w:val="1"/>
          <w:color w:val="auto"/>
        </w:rPr>
        <w:t>001-39126</w:t>
      </w:r>
    </w:p>
    <w:p>
      <w:pPr>
        <w:spacing w:after="0" w:line="31"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7"/>
          <w:szCs w:val="17"/>
          <w:color w:val="auto"/>
        </w:rPr>
        <w:t>(Commission File Number)</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580"/>
        <w:spacing w:after="0"/>
        <w:rPr>
          <w:sz w:val="20"/>
          <w:szCs w:val="20"/>
          <w:color w:val="auto"/>
        </w:rPr>
      </w:pPr>
      <w:r>
        <w:rPr>
          <w:rFonts w:ascii="Times New Roman" w:cs="Times New Roman" w:eastAsia="Times New Roman" w:hAnsi="Times New Roman"/>
          <w:sz w:val="18"/>
          <w:szCs w:val="18"/>
          <w:b w:val="1"/>
          <w:bCs w:val="1"/>
          <w:color w:val="auto"/>
        </w:rPr>
        <w:t>82-2318545</w:t>
      </w:r>
    </w:p>
    <w:p>
      <w:pPr>
        <w:spacing w:after="0" w:line="31" w:lineRule="exact"/>
        <w:rPr>
          <w:sz w:val="24"/>
          <w:szCs w:val="24"/>
          <w:color w:val="auto"/>
        </w:rPr>
      </w:pPr>
    </w:p>
    <w:p>
      <w:pPr>
        <w:jc w:val="center"/>
        <w:ind w:right="600"/>
        <w:spacing w:after="0"/>
        <w:rPr>
          <w:sz w:val="20"/>
          <w:szCs w:val="20"/>
          <w:color w:val="auto"/>
        </w:rPr>
      </w:pPr>
      <w:r>
        <w:rPr>
          <w:rFonts w:ascii="Times New Roman" w:cs="Times New Roman" w:eastAsia="Times New Roman" w:hAnsi="Times New Roman"/>
          <w:sz w:val="18"/>
          <w:szCs w:val="18"/>
          <w:color w:val="auto"/>
        </w:rPr>
        <w:t>(I.R.S. Employer Identification No.)</w:t>
      </w:r>
    </w:p>
    <w:p>
      <w:pPr>
        <w:spacing w:after="0" w:line="9" w:lineRule="exact"/>
        <w:rPr>
          <w:sz w:val="24"/>
          <w:szCs w:val="24"/>
          <w:color w:val="auto"/>
        </w:rPr>
      </w:pPr>
    </w:p>
    <w:p>
      <w:pPr>
        <w:sectPr>
          <w:pgSz w:w="11900" w:h="16838" w:orient="portrait"/>
          <w:cols w:equalWidth="0" w:num="3">
            <w:col w:w="3920" w:space="720"/>
            <w:col w:w="2660" w:space="720"/>
            <w:col w:w="3220"/>
          </w:cols>
          <w:pgMar w:left="320" w:top="441" w:right="339" w:bottom="1440" w:gutter="0" w:footer="0" w:header="0"/>
          <w:type w:val="continuous"/>
        </w:sectPr>
      </w:pPr>
    </w:p>
    <w:p>
      <w:pPr>
        <w:ind w:left="840"/>
        <w:spacing w:after="0"/>
        <w:rPr>
          <w:sz w:val="20"/>
          <w:szCs w:val="20"/>
          <w:color w:val="auto"/>
        </w:rPr>
      </w:pPr>
      <w:r>
        <w:rPr>
          <w:rFonts w:ascii="Times New Roman" w:cs="Times New Roman" w:eastAsia="Times New Roman" w:hAnsi="Times New Roman"/>
          <w:sz w:val="18"/>
          <w:szCs w:val="18"/>
          <w:color w:val="auto"/>
        </w:rPr>
        <w:t>incorporation or organization)</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Houston, Texas 77027</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(Address of principal executive offices) (Zip Code)</w:t>
      </w:r>
    </w:p>
    <w:p>
      <w:pPr>
        <w:sectPr>
          <w:pgSz w:w="11900" w:h="16838" w:orient="portrait"/>
          <w:cols w:equalWidth="0" w:num="1">
            <w:col w:w="11240"/>
          </w:cols>
          <w:pgMar w:left="320" w:top="441" w:right="339" w:bottom="1440" w:gutter="0" w:footer="0" w:header="0"/>
          <w:type w:val="continuous"/>
        </w:sectPr>
      </w:pP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Registrant’s telephone number, including area code: (800) 946-9185</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 Applicable</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7" w:lineRule="exact"/>
        <w:rPr>
          <w:sz w:val="24"/>
          <w:szCs w:val="24"/>
          <w:color w:val="auto"/>
        </w:rPr>
      </w:pPr>
    </w:p>
    <w:p>
      <w:pPr>
        <w:ind w:firstLine="324"/>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the registrant under any of the following provisions (</w:t>
      </w:r>
      <w:r>
        <w:rPr>
          <w:rFonts w:ascii="Times New Roman" w:cs="Times New Roman" w:eastAsia="Times New Roman" w:hAnsi="Times New Roman"/>
          <w:sz w:val="18"/>
          <w:szCs w:val="18"/>
          <w:i w:val="1"/>
          <w:iCs w:val="1"/>
          <w:color w:val="auto"/>
        </w:rPr>
        <w:t>see</w:t>
      </w:r>
      <w:r>
        <w:rPr>
          <w:rFonts w:ascii="Times New Roman" w:cs="Times New Roman" w:eastAsia="Times New Roman" w:hAnsi="Times New Roman"/>
          <w:sz w:val="18"/>
          <w:szCs w:val="18"/>
          <w:color w:val="auto"/>
        </w:rPr>
        <w:t xml:space="preserve"> General Instruction A.2. below):</w:t>
      </w:r>
    </w:p>
    <w:p>
      <w:pPr>
        <w:spacing w:after="0" w:line="162" w:lineRule="exact"/>
        <w:rPr>
          <w:sz w:val="24"/>
          <w:szCs w:val="24"/>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w:t>
      </w:r>
    </w:p>
    <w:p>
      <w:pPr>
        <w:spacing w:after="0" w:line="225" w:lineRule="exact"/>
        <w:rPr>
          <w:sz w:val="24"/>
          <w:szCs w:val="24"/>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21" w:lineRule="exact"/>
        <w:rPr>
          <w:sz w:val="24"/>
          <w:szCs w:val="24"/>
          <w:color w:val="auto"/>
        </w:rPr>
      </w:pPr>
    </w:p>
    <w:p>
      <w:pPr>
        <w:ind w:left="8940"/>
        <w:spacing w:after="0" w:line="207" w:lineRule="exact"/>
        <w:rPr>
          <w:sz w:val="20"/>
          <w:szCs w:val="20"/>
          <w:color w:val="auto"/>
        </w:rPr>
      </w:pPr>
      <w:r>
        <w:rPr>
          <w:rFonts w:ascii="Times New Roman" w:cs="Times New Roman" w:eastAsia="Times New Roman" w:hAnsi="Times New Roman"/>
          <w:sz w:val="18"/>
          <w:szCs w:val="18"/>
          <w:color w:val="auto"/>
        </w:rPr>
        <w:t xml:space="preserve">Emerging growth company </w:t>
      </w:r>
      <w:r>
        <w:rPr>
          <w:rFonts w:ascii="MS PGothic" w:cs="MS PGothic" w:eastAsia="MS PGothic" w:hAnsi="MS PGothic"/>
          <w:sz w:val="18"/>
          <w:szCs w:val="18"/>
          <w:color w:val="auto"/>
        </w:rPr>
        <w:t>☒</w:t>
      </w:r>
    </w:p>
    <w:p>
      <w:pPr>
        <w:spacing w:after="0" w:line="266" w:lineRule="exact"/>
        <w:rPr>
          <w:sz w:val="24"/>
          <w:szCs w:val="24"/>
          <w:color w:val="auto"/>
        </w:rPr>
      </w:pPr>
    </w:p>
    <w:p>
      <w:pPr>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70"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w:t>
      </w:r>
    </w:p>
    <w:p>
      <w:pPr>
        <w:spacing w:after="0" w:line="223" w:lineRule="exact"/>
        <w:rPr>
          <w:sz w:val="24"/>
          <w:szCs w:val="24"/>
          <w:color w:val="auto"/>
        </w:rPr>
      </w:pPr>
    </w:p>
    <w:tbl>
      <w:tblPr>
        <w:tblLayout w:type="fixed"/>
        <w:tblInd w:w="10" w:type="dxa"/>
        <w:tblCellMar>
          <w:top w:w="0" w:type="dxa"/>
          <w:left w:w="0" w:type="dxa"/>
          <w:bottom w:w="0" w:type="dxa"/>
          <w:right w:w="0" w:type="dxa"/>
        </w:tblCellMar>
      </w:tblPr>
      <w:tr>
        <w:trPr>
          <w:trHeight w:val="230"/>
        </w:trPr>
        <w:tc>
          <w:tcPr>
            <w:tcW w:w="4520" w:type="dxa"/>
            <w:vAlign w:val="bottom"/>
            <w:tcBorders>
              <w:top w:val="single" w:sz="8" w:color="auto"/>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Title of each class</w:t>
            </w:r>
          </w:p>
        </w:tc>
        <w:tc>
          <w:tcPr>
            <w:tcW w:w="224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Trading Symbols(s)</w:t>
            </w:r>
          </w:p>
        </w:tc>
        <w:tc>
          <w:tcPr>
            <w:tcW w:w="448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Name of each exchange on which registered</w:t>
            </w:r>
          </w:p>
        </w:tc>
      </w:tr>
      <w:tr>
        <w:trPr>
          <w:trHeight w:val="209"/>
        </w:trPr>
        <w:tc>
          <w:tcPr>
            <w:tcW w:w="452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Common stock, par value $0.001 per share</w:t>
            </w:r>
          </w:p>
        </w:tc>
        <w:tc>
          <w:tcPr>
            <w:tcW w:w="224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CNSP</w:t>
            </w:r>
          </w:p>
        </w:tc>
        <w:tc>
          <w:tcPr>
            <w:tcW w:w="44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The NASDAQ Stock Market LLC</w:t>
            </w:r>
          </w:p>
        </w:tc>
      </w:tr>
      <w:tr>
        <w:trPr>
          <w:trHeight w:val="749"/>
        </w:trPr>
        <w:tc>
          <w:tcPr>
            <w:tcW w:w="4520" w:type="dxa"/>
            <w:vAlign w:val="bottom"/>
            <w:tcBorders>
              <w:bottom w:val="single" w:sz="8" w:color="auto"/>
            </w:tcBorders>
          </w:tcPr>
          <w:p>
            <w:pPr>
              <w:spacing w:after="0"/>
              <w:rPr>
                <w:sz w:val="24"/>
                <w:szCs w:val="24"/>
                <w:color w:val="auto"/>
              </w:rPr>
            </w:pPr>
          </w:p>
        </w:tc>
        <w:tc>
          <w:tcPr>
            <w:tcW w:w="2240" w:type="dxa"/>
            <w:vAlign w:val="bottom"/>
            <w:tcBorders>
              <w:bottom w:val="single" w:sz="8" w:color="auto"/>
            </w:tcBorders>
          </w:tcPr>
          <w:p>
            <w:pPr>
              <w:spacing w:after="0"/>
              <w:rPr>
                <w:sz w:val="24"/>
                <w:szCs w:val="24"/>
                <w:color w:val="auto"/>
              </w:rPr>
            </w:pPr>
          </w:p>
        </w:tc>
        <w:tc>
          <w:tcPr>
            <w:tcW w:w="448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441" w:right="339" w:bottom="1440" w:gutter="0" w:footer="0" w:header="0"/>
          <w:type w:val="continuous"/>
        </w:sectPr>
      </w:pPr>
    </w:p>
    <w:bookmarkStart w:id="1" w:name="page2"/>
    <w:bookmarkEnd w:id="1"/>
    <w:p>
      <w:pPr>
        <w:spacing w:after="0"/>
        <w:rPr>
          <w:sz w:val="20"/>
          <w:szCs w:val="20"/>
          <w:color w:val="auto"/>
        </w:rPr>
      </w:pPr>
      <w:r>
        <w:rPr>
          <w:rFonts w:ascii="Times New Roman" w:cs="Times New Roman" w:eastAsia="Times New Roman" w:hAnsi="Times New Roman"/>
          <w:sz w:val="18"/>
          <w:szCs w:val="18"/>
          <w:b w:val="1"/>
          <w:bCs w:val="1"/>
          <w:color w:val="auto"/>
        </w:rPr>
        <w:t>Item 7.01. Regulation FD Disclosure.</w:t>
      </w:r>
    </w:p>
    <w:p>
      <w:pPr>
        <w:spacing w:after="0" w:line="229" w:lineRule="exact"/>
        <w:rPr>
          <w:sz w:val="20"/>
          <w:szCs w:val="20"/>
          <w:color w:val="auto"/>
        </w:rPr>
      </w:pPr>
    </w:p>
    <w:p>
      <w:pPr>
        <w:jc w:val="both"/>
        <w:ind w:right="20" w:firstLine="486"/>
        <w:spacing w:after="0" w:line="282" w:lineRule="auto"/>
        <w:rPr>
          <w:sz w:val="20"/>
          <w:szCs w:val="20"/>
          <w:color w:val="auto"/>
        </w:rPr>
      </w:pPr>
      <w:r>
        <w:rPr>
          <w:rFonts w:ascii="Times New Roman" w:cs="Times New Roman" w:eastAsia="Times New Roman" w:hAnsi="Times New Roman"/>
          <w:sz w:val="18"/>
          <w:szCs w:val="18"/>
          <w:color w:val="auto"/>
        </w:rPr>
        <w:t>On April 9, 2025, CNS Pharmaceuticals, Inc. (the “Company”) will use the presentation set forth as Exhibit 99.1 herein in connection with various meetings from time to time with the investment community..</w:t>
      </w:r>
    </w:p>
    <w:p>
      <w:pPr>
        <w:spacing w:after="0" w:line="162" w:lineRule="exact"/>
        <w:rPr>
          <w:sz w:val="20"/>
          <w:szCs w:val="20"/>
          <w:color w:val="auto"/>
        </w:rPr>
      </w:pPr>
    </w:p>
    <w:p>
      <w:pPr>
        <w:jc w:val="both"/>
        <w:ind w:firstLine="486"/>
        <w:spacing w:after="0" w:line="266" w:lineRule="auto"/>
        <w:rPr>
          <w:sz w:val="20"/>
          <w:szCs w:val="20"/>
          <w:color w:val="auto"/>
        </w:rPr>
      </w:pPr>
      <w:r>
        <w:rPr>
          <w:rFonts w:ascii="Times New Roman" w:cs="Times New Roman" w:eastAsia="Times New Roman" w:hAnsi="Times New Roman"/>
          <w:sz w:val="18"/>
          <w:szCs w:val="18"/>
          <w:color w:val="auto"/>
        </w:rPr>
        <w:t>The information contained in Item 7.01 of this Current Report on Form 8-K is being furnished and shall not be “filed” for the purpose of the Securities Exchange Act of 1934, as amended (“Exchange Act”), nor shall it be incorporated by reference in any filing under the Exchange Act or the Securities Act of 1933, as amended (“Securities Act”), unless specifically identified therein as being incorporated by reference.</w:t>
      </w:r>
    </w:p>
    <w:p>
      <w:pPr>
        <w:spacing w:after="0" w:line="388"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b w:val="1"/>
          <w:bCs w:val="1"/>
          <w:color w:val="auto"/>
        </w:rPr>
        <w:t>Item 9.01. Financial Statements and Exhibits.</w:t>
      </w:r>
    </w:p>
    <w:p>
      <w:pPr>
        <w:spacing w:after="0" w:line="225" w:lineRule="exact"/>
        <w:rPr>
          <w:sz w:val="20"/>
          <w:szCs w:val="20"/>
          <w:color w:val="auto"/>
        </w:rPr>
      </w:pPr>
    </w:p>
    <w:p>
      <w:pPr>
        <w:spacing w:after="0"/>
        <w:tabs>
          <w:tab w:leader="none" w:pos="1340" w:val="left"/>
        </w:tabs>
        <w:rPr>
          <w:sz w:val="20"/>
          <w:szCs w:val="20"/>
          <w:color w:val="auto"/>
        </w:rPr>
      </w:pPr>
      <w:r>
        <w:rPr>
          <w:rFonts w:ascii="Times New Roman" w:cs="Times New Roman" w:eastAsia="Times New Roman" w:hAnsi="Times New Roman"/>
          <w:sz w:val="18"/>
          <w:szCs w:val="18"/>
          <w:b w:val="1"/>
          <w:bCs w:val="1"/>
          <w:color w:val="auto"/>
        </w:rPr>
        <w:t>No.</w:t>
      </w:r>
      <w:r>
        <w:rPr>
          <w:sz w:val="20"/>
          <w:szCs w:val="20"/>
          <w:color w:val="auto"/>
        </w:rPr>
        <w:tab/>
      </w:r>
      <w:r>
        <w:rPr>
          <w:rFonts w:ascii="Times New Roman" w:cs="Times New Roman" w:eastAsia="Times New Roman" w:hAnsi="Times New Roman"/>
          <w:sz w:val="18"/>
          <w:szCs w:val="18"/>
          <w:b w:val="1"/>
          <w:bCs w:val="1"/>
          <w:color w:val="auto"/>
        </w:rPr>
        <w:t>Description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19685</wp:posOffset>
            </wp:positionV>
            <wp:extent cx="713232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pacing w:after="0" w:line="11" w:lineRule="exact"/>
        <w:rPr>
          <w:sz w:val="20"/>
          <w:szCs w:val="20"/>
          <w:color w:val="auto"/>
        </w:rPr>
      </w:pPr>
    </w:p>
    <w:p>
      <w:pPr>
        <w:spacing w:after="0"/>
        <w:tabs>
          <w:tab w:leader="none" w:pos="1340" w:val="left"/>
        </w:tabs>
        <w:rPr>
          <w:sz w:val="20"/>
          <w:szCs w:val="20"/>
          <w:color w:val="auto"/>
        </w:rPr>
      </w:pPr>
      <w:r>
        <w:rPr>
          <w:rFonts w:ascii="Times New Roman" w:cs="Times New Roman" w:eastAsia="Times New Roman" w:hAnsi="Times New Roman"/>
          <w:sz w:val="18"/>
          <w:szCs w:val="18"/>
          <w:color w:val="auto"/>
        </w:rPr>
        <w:t>99.1</w:t>
      </w:r>
      <w:r>
        <w:rPr>
          <w:sz w:val="20"/>
          <w:szCs w:val="20"/>
          <w:color w:val="auto"/>
        </w:rPr>
        <w:tab/>
      </w:r>
      <w:r>
        <w:rPr>
          <w:rFonts w:ascii="Times New Roman" w:cs="Times New Roman" w:eastAsia="Times New Roman" w:hAnsi="Times New Roman"/>
          <w:sz w:val="18"/>
          <w:szCs w:val="18"/>
          <w:u w:val="single" w:color="auto"/>
          <w:color w:val="0000EE"/>
        </w:rPr>
        <w:t>Presentation dated April 2025</w:t>
      </w:r>
    </w:p>
    <w:p>
      <w:pPr>
        <w:spacing w:after="0" w:line="23" w:lineRule="exact"/>
        <w:rPr>
          <w:sz w:val="20"/>
          <w:szCs w:val="20"/>
          <w:color w:val="auto"/>
        </w:rPr>
      </w:pPr>
    </w:p>
    <w:p>
      <w:pPr>
        <w:ind w:left="1360" w:hanging="1352"/>
        <w:spacing w:after="0"/>
        <w:tabs>
          <w:tab w:leader="none" w:pos="1360" w:val="left"/>
        </w:tabs>
        <w:numPr>
          <w:ilvl w:val="0"/>
          <w:numId w:val="2"/>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Cover Page Interactive Data File (embedded within the Inline XBRL document)</w:t>
      </w: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200" w:lineRule="exact"/>
        <w:rPr>
          <w:rFonts w:ascii="Times New Roman" w:cs="Times New Roman" w:eastAsia="Times New Roman" w:hAnsi="Times New Roman"/>
          <w:sz w:val="18"/>
          <w:szCs w:val="18"/>
          <w:color w:val="auto"/>
        </w:rPr>
      </w:pPr>
    </w:p>
    <w:p>
      <w:pPr>
        <w:spacing w:after="0" w:line="394" w:lineRule="exact"/>
        <w:rPr>
          <w:rFonts w:ascii="Times New Roman" w:cs="Times New Roman" w:eastAsia="Times New Roman" w:hAnsi="Times New Roman"/>
          <w:sz w:val="18"/>
          <w:szCs w:val="18"/>
          <w:color w:val="auto"/>
        </w:rPr>
      </w:pPr>
    </w:p>
    <w:p>
      <w:pPr>
        <w:ind w:left="5580"/>
        <w:spacing w:after="0"/>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18"/>
          <w:szCs w:val="18"/>
          <w:b w:val="1"/>
          <w:bCs w:val="1"/>
          <w:color w:val="auto"/>
        </w:rPr>
        <w:t>Signature</w:t>
      </w:r>
    </w:p>
    <w:p>
      <w:pPr>
        <w:spacing w:after="0" w:line="229" w:lineRule="exact"/>
        <w:rPr>
          <w:sz w:val="20"/>
          <w:szCs w:val="20"/>
          <w:color w:val="auto"/>
        </w:rPr>
      </w:pPr>
    </w:p>
    <w:p>
      <w:pPr>
        <w:ind w:firstLine="486"/>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8"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00" w:lineRule="exact"/>
        <w:rPr>
          <w:sz w:val="20"/>
          <w:szCs w:val="20"/>
          <w:color w:val="auto"/>
        </w:rPr>
      </w:pPr>
    </w:p>
    <w:p>
      <w:pPr>
        <w:spacing w:after="0" w:line="241"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By: /s/ Chris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3862705</wp:posOffset>
            </wp:positionH>
            <wp:positionV relativeFrom="paragraph">
              <wp:posOffset>-7620</wp:posOffset>
            </wp:positionV>
            <wp:extent cx="1421765"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1421765" cy="8255"/>
                    </a:xfrm>
                    <a:prstGeom prst="rect">
                      <a:avLst/>
                    </a:prstGeom>
                    <a:noFill/>
                  </pic:spPr>
                </pic:pic>
              </a:graphicData>
            </a:graphic>
          </wp:anchor>
        </w:drawing>
      </w:r>
    </w:p>
    <w:p>
      <w:pPr>
        <w:spacing w:after="0" w:line="7"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Chris Downs</w:t>
      </w:r>
    </w:p>
    <w:p>
      <w:pPr>
        <w:spacing w:after="0" w:line="9"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 April 9, 2025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9"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3" w:name="page4"/>
    <w:bookmarkEnd w:id="3"/>
    <w:p>
      <w:pPr>
        <w:spacing w:after="0"/>
        <w:rPr>
          <w:sz w:val="20"/>
          <w:szCs w:val="20"/>
          <w:color w:val="auto"/>
        </w:rPr>
      </w:pPr>
      <w:r>
        <w:rPr>
          <w:rFonts w:ascii="Times New Roman" w:cs="Times New Roman" w:eastAsia="Times New Roman" w:hAnsi="Times New Roman"/>
          <w:sz w:val="21"/>
          <w:szCs w:val="21"/>
          <w:b w:val="1"/>
          <w:bCs w:val="1"/>
          <w:color w:val="auto"/>
        </w:rPr>
        <w:t>Exhibit 99.1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142240</wp:posOffset>
            </wp:positionH>
            <wp:positionV relativeFrom="paragraph">
              <wp:posOffset>330200</wp:posOffset>
            </wp:positionV>
            <wp:extent cx="6858000" cy="38322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extLst>
                    </a:blip>
                    <a:srcRect/>
                    <a:stretch>
                      <a:fillRect/>
                    </a:stretch>
                  </pic:blipFill>
                  <pic:spPr bwMode="auto">
                    <a:xfrm>
                      <a:off x="0" y="0"/>
                      <a:ext cx="6858000" cy="3832225"/>
                    </a:xfrm>
                    <a:prstGeom prst="rect">
                      <a:avLst/>
                    </a:prstGeom>
                    <a:noFill/>
                  </pic:spPr>
                </pic:pic>
              </a:graphicData>
            </a:graphic>
          </wp:anchor>
        </w:drawing>
      </w:r>
    </w:p>
    <w:p>
      <w:pPr>
        <w:sectPr>
          <w:pgSz w:w="11900" w:h="16838" w:orient="portrait"/>
          <w:cols w:equalWidth="0" w:num="1">
            <w:col w:w="10139"/>
          </w:cols>
          <w:pgMar w:left="320" w:top="108" w:right="1440" w:bottom="1440" w:gutter="0" w:footer="0" w:header="0"/>
        </w:sectPr>
      </w:pPr>
    </w:p>
    <w:bookmarkStart w:id="4" w:name="page5"/>
    <w:bookmarkEnd w:id="4"/>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620395</wp:posOffset>
            </wp:positionV>
            <wp:extent cx="6858000" cy="38658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65880"/>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5" w:name="page6"/>
    <w:bookmarkEnd w:id="5"/>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620395</wp:posOffset>
            </wp:positionV>
            <wp:extent cx="6858000" cy="38487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6" w:name="page7"/>
    <w:bookmarkEnd w:id="6"/>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620395</wp:posOffset>
            </wp:positionV>
            <wp:extent cx="6858000" cy="38404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0480"/>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7" w:name="page8"/>
    <w:bookmarkEnd w:id="7"/>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620395</wp:posOffset>
            </wp:positionV>
            <wp:extent cx="6858000" cy="384048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0480"/>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8" w:name="page9"/>
    <w:bookmarkEnd w:id="8"/>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620395</wp:posOffset>
            </wp:positionV>
            <wp:extent cx="6858000" cy="384048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0480"/>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9" w:name="page10"/>
    <w:bookmarkEnd w:id="9"/>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620395</wp:posOffset>
            </wp:positionV>
            <wp:extent cx="6858000" cy="38404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0480"/>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0" w:name="page11"/>
    <w:bookmarkEnd w:id="10"/>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620395</wp:posOffset>
            </wp:positionV>
            <wp:extent cx="6858000" cy="38487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1" w:name="page12"/>
    <w:bookmarkEnd w:id="11"/>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466090</wp:posOffset>
            </wp:positionV>
            <wp:extent cx="6858000" cy="38576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5762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2" w:name="page13"/>
    <w:bookmarkEnd w:id="12"/>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620395</wp:posOffset>
            </wp:positionV>
            <wp:extent cx="6858000" cy="38487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3" w:name="page14"/>
    <w:bookmarkEnd w:id="13"/>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620395</wp:posOffset>
            </wp:positionV>
            <wp:extent cx="6858000" cy="386588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65880"/>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4" w:name="page15"/>
    <w:bookmarkEnd w:id="14"/>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620395</wp:posOffset>
            </wp:positionV>
            <wp:extent cx="6858000" cy="38487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5" w:name="page16"/>
    <w:bookmarkEnd w:id="15"/>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620395</wp:posOffset>
            </wp:positionV>
            <wp:extent cx="6858000" cy="38576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5762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6" w:name="page17"/>
    <w:bookmarkEnd w:id="16"/>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620395</wp:posOffset>
            </wp:positionV>
            <wp:extent cx="6858000" cy="38658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65880"/>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7" w:name="page18"/>
    <w:bookmarkEnd w:id="17"/>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620395</wp:posOffset>
            </wp:positionV>
            <wp:extent cx="6858000" cy="384048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0480"/>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8" w:name="page19"/>
    <w:bookmarkEnd w:id="18"/>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620395</wp:posOffset>
            </wp:positionV>
            <wp:extent cx="6858000" cy="38487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19" w:name="page20"/>
    <w:bookmarkEnd w:id="19"/>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620395</wp:posOffset>
            </wp:positionV>
            <wp:extent cx="6858000" cy="38487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873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20" w:name="page21"/>
    <w:bookmarkEnd w:id="20"/>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620395</wp:posOffset>
            </wp:positionV>
            <wp:extent cx="6858000" cy="38493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49370"/>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21" w:name="page22"/>
    <w:bookmarkEnd w:id="21"/>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620395</wp:posOffset>
            </wp:positionV>
            <wp:extent cx="6858000" cy="38576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57625"/>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22" w:name="page23"/>
    <w:bookmarkEnd w:id="22"/>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620395</wp:posOffset>
            </wp:positionV>
            <wp:extent cx="6858000" cy="38315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31590"/>
                    </a:xfrm>
                    <a:prstGeom prst="rect">
                      <a:avLst/>
                    </a:prstGeom>
                    <a:noFill/>
                  </pic:spPr>
                </pic:pic>
              </a:graphicData>
            </a:graphic>
          </wp:anchor>
        </w:drawing>
      </w:r>
    </w:p>
    <w:p>
      <w:pPr>
        <w:sectPr>
          <w:pgSz w:w="11900" w:h="16838" w:orient="portrait"/>
          <w:cols w:equalWidth="1" w:num="1" w:space="0"/>
          <w:pgMar w:left="1440" w:top="1440" w:right="1440" w:bottom="875" w:gutter="0" w:footer="0" w:header="0"/>
        </w:sectPr>
      </w:pPr>
    </w:p>
    <w:bookmarkStart w:id="23" w:name="page24"/>
    <w:bookmarkEnd w:id="23"/>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345440</wp:posOffset>
            </wp:positionH>
            <wp:positionV relativeFrom="page">
              <wp:posOffset>620395</wp:posOffset>
            </wp:positionV>
            <wp:extent cx="6858000" cy="38315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clrChange>
                        <a:clrFrom>
                          <a:srgbClr val="FFFFFF"/>
                        </a:clrFrom>
                        <a:clrTo>
                          <a:srgbClr val="FFFFFF">
                            <a:alpha val="0"/>
                          </a:srgbClr>
                        </a:clrTo>
                      </a:clrChange>
                      <a:extLst>
                        <a:ext uri="{28A0092B-C50C-407E-A947-70E740481C1C}"/>
                      </a:extLst>
                    </a:blip>
                    <a:srcRect/>
                    <a:stretch>
                      <a:fillRect/>
                    </a:stretch>
                  </pic:blipFill>
                  <pic:spPr bwMode="auto">
                    <a:xfrm>
                      <a:off x="0" y="0"/>
                      <a:ext cx="6858000" cy="3831590"/>
                    </a:xfrm>
                    <a:prstGeom prst="rect">
                      <a:avLst/>
                    </a:prstGeom>
                    <a:noFill/>
                  </pic:spPr>
                </pic:pic>
              </a:graphicData>
            </a:graphic>
          </wp:anchor>
        </w:drawing>
      </w:r>
    </w:p>
    <w:sectPr>
      <w:pgSz w:w="11900" w:h="16838" w:orient="portrait"/>
      <w:cols w:equalWidth="1" w:num="1" w:space="0"/>
      <w:pgMar w:left="1440" w:top="1440" w:right="1440" w:bottom="875"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643C9869"/>
    <w:multiLevelType w:val="hybridMultilevel"/>
    <w:lvl w:ilvl="0">
      <w:lvlJc w:val="left"/>
      <w:lvlText w:val="☐"/>
      <w:numFmt w:val="bullet"/>
      <w:start w:val="1"/>
    </w:lvl>
  </w:abstractNum>
  <w:abstractNum w:abstractNumId="1">
    <w:nsid w:val="66334873"/>
    <w:multiLevelType w:val="hybridMultilevel"/>
    <w:lvl w:ilvl="0">
      <w:lvlJc w:val="left"/>
      <w:lvlText w:val="%1"/>
      <w:numFmt w:val="decimal"/>
      <w:start w:val="104"/>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jpeg"/><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2025-04-09T14:43:07Z</dcterms:created>
  <dcterms:modified xsi:type="dcterms:W3CDTF">2025-04-09T14:43:07Z</dcterms:modified>
</cp:coreProperties>
</file>