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spacing w:after="0"/>
        <w:rPr>
          <w:sz w:val="20"/>
          <w:szCs w:val="20"/>
          <w:color w:val="auto"/>
        </w:rPr>
      </w:pPr>
      <w:r>
        <w:rPr>
          <w:rFonts w:ascii="Times New Roman" w:cs="Times New Roman" w:eastAsia="Times New Roman" w:hAnsi="Times New Roman"/>
          <w:sz w:val="18"/>
          <w:szCs w:val="18"/>
          <w:b w:val="1"/>
          <w:bCs w:val="1"/>
          <w:color w:val="auto"/>
        </w:rPr>
        <w:t>UNITED STATES</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SECURITIES AND EXCHANGE COMMISSION</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Washington, D.C. 20549</w:t>
      </w:r>
    </w:p>
    <w:p>
      <w:pPr>
        <w:spacing w:after="0" w:line="9"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FORM 8-K</w:t>
      </w:r>
    </w:p>
    <w:p>
      <w:pPr>
        <w:spacing w:after="0" w:line="22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CURRENT REPORT</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Pursuant to Section 13 or 15(d) of the</w:t>
      </w:r>
    </w:p>
    <w:p>
      <w:pPr>
        <w:spacing w:after="0" w:line="9"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Securities Exchange Act of 1934</w:t>
      </w: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7"/>
          <w:szCs w:val="17"/>
          <w:b w:val="1"/>
          <w:bCs w:val="1"/>
          <w:color w:val="auto"/>
        </w:rPr>
        <w:t>Date of Report (Date of earliest event reported): March 31, 2025</w:t>
      </w:r>
    </w:p>
    <w:p>
      <w:pPr>
        <w:spacing w:after="0" w:line="43"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pacing w:after="0" w:line="194"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22"/>
          <w:szCs w:val="22"/>
          <w:b w:val="1"/>
          <w:bCs w:val="1"/>
          <w:color w:val="auto"/>
        </w:rPr>
        <w:t>CNS Pharmaceuticals, Inc.</w:t>
      </w:r>
    </w:p>
    <w:p>
      <w:pPr>
        <w:spacing w:after="0" w:line="2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(Exact name of registrant as specified in its charter)</w:t>
      </w:r>
    </w:p>
    <w:p>
      <w:pPr>
        <w:spacing w:after="0" w:line="7"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ectPr>
          <w:pgSz w:w="11900" w:h="16838" w:orient="portrait"/>
          <w:cols w:equalWidth="0" w:num="1">
            <w:col w:w="11240"/>
          </w:cols>
          <w:pgMar w:left="320" w:top="441" w:right="339" w:bottom="1440" w:gutter="0" w:footer="0" w:header="0"/>
        </w:sectPr>
      </w:pPr>
    </w:p>
    <w:p>
      <w:pPr>
        <w:spacing w:after="0" w:line="203" w:lineRule="exact"/>
        <w:rPr>
          <w:sz w:val="24"/>
          <w:szCs w:val="24"/>
          <w:color w:val="auto"/>
        </w:rPr>
      </w:pPr>
    </w:p>
    <w:p>
      <w:pPr>
        <w:jc w:val="center"/>
        <w:ind w:right="80"/>
        <w:spacing w:after="0"/>
        <w:rPr>
          <w:sz w:val="20"/>
          <w:szCs w:val="20"/>
          <w:color w:val="auto"/>
        </w:rPr>
      </w:pPr>
      <w:r>
        <w:rPr>
          <w:rFonts w:ascii="Times New Roman" w:cs="Times New Roman" w:eastAsia="Times New Roman" w:hAnsi="Times New Roman"/>
          <w:sz w:val="18"/>
          <w:szCs w:val="18"/>
          <w:b w:val="1"/>
          <w:bCs w:val="1"/>
          <w:color w:val="auto"/>
        </w:rPr>
        <w:t>Nevada</w:t>
      </w:r>
    </w:p>
    <w:p>
      <w:pPr>
        <w:spacing w:after="0" w:line="31" w:lineRule="exact"/>
        <w:rPr>
          <w:sz w:val="24"/>
          <w:szCs w:val="24"/>
          <w:color w:val="auto"/>
        </w:rPr>
      </w:pPr>
    </w:p>
    <w:p>
      <w:pPr>
        <w:jc w:val="center"/>
        <w:ind w:right="80"/>
        <w:spacing w:after="0"/>
        <w:rPr>
          <w:sz w:val="20"/>
          <w:szCs w:val="20"/>
          <w:color w:val="auto"/>
        </w:rPr>
      </w:pPr>
      <w:r>
        <w:rPr>
          <w:rFonts w:ascii="Times New Roman" w:cs="Times New Roman" w:eastAsia="Times New Roman" w:hAnsi="Times New Roman"/>
          <w:sz w:val="17"/>
          <w:szCs w:val="17"/>
          <w:color w:val="auto"/>
        </w:rPr>
        <w:t>(State or other jurisdiction of</w:t>
      </w:r>
    </w:p>
    <w:p>
      <w:pPr>
        <w:spacing w:after="0" w:line="20" w:lineRule="exact"/>
        <w:rPr>
          <w:sz w:val="24"/>
          <w:szCs w:val="24"/>
          <w:color w:val="auto"/>
        </w:rPr>
      </w:pPr>
      <w:r>
        <w:rPr>
          <w:sz w:val="24"/>
          <w:szCs w:val="24"/>
          <w:color w:val="auto"/>
        </w:rPr>
        <w:br w:type="column"/>
      </w:r>
    </w:p>
    <w:p>
      <w:pPr>
        <w:spacing w:after="0" w:line="183" w:lineRule="exact"/>
        <w:rPr>
          <w:sz w:val="24"/>
          <w:szCs w:val="24"/>
          <w:color w:val="auto"/>
        </w:rPr>
      </w:pPr>
    </w:p>
    <w:p>
      <w:pPr>
        <w:jc w:val="center"/>
        <w:ind w:right="680"/>
        <w:spacing w:after="0"/>
        <w:rPr>
          <w:sz w:val="20"/>
          <w:szCs w:val="20"/>
          <w:color w:val="auto"/>
        </w:rPr>
      </w:pPr>
      <w:r>
        <w:rPr>
          <w:rFonts w:ascii="Times New Roman" w:cs="Times New Roman" w:eastAsia="Times New Roman" w:hAnsi="Times New Roman"/>
          <w:sz w:val="18"/>
          <w:szCs w:val="18"/>
          <w:b w:val="1"/>
          <w:bCs w:val="1"/>
          <w:color w:val="auto"/>
        </w:rPr>
        <w:t>001-39126</w:t>
      </w:r>
    </w:p>
    <w:p>
      <w:pPr>
        <w:spacing w:after="0" w:line="31" w:lineRule="exact"/>
        <w:rPr>
          <w:sz w:val="24"/>
          <w:szCs w:val="24"/>
          <w:color w:val="auto"/>
        </w:rPr>
      </w:pPr>
    </w:p>
    <w:p>
      <w:pPr>
        <w:jc w:val="center"/>
        <w:ind w:right="680"/>
        <w:spacing w:after="0"/>
        <w:rPr>
          <w:sz w:val="20"/>
          <w:szCs w:val="20"/>
          <w:color w:val="auto"/>
        </w:rPr>
      </w:pPr>
      <w:r>
        <w:rPr>
          <w:rFonts w:ascii="Times New Roman" w:cs="Times New Roman" w:eastAsia="Times New Roman" w:hAnsi="Times New Roman"/>
          <w:sz w:val="17"/>
          <w:szCs w:val="17"/>
          <w:color w:val="auto"/>
        </w:rPr>
        <w:t>(Commission File Number)</w:t>
      </w:r>
    </w:p>
    <w:p>
      <w:pPr>
        <w:spacing w:after="0" w:line="20" w:lineRule="exact"/>
        <w:rPr>
          <w:sz w:val="24"/>
          <w:szCs w:val="24"/>
          <w:color w:val="auto"/>
        </w:rPr>
      </w:pPr>
      <w:r>
        <w:rPr>
          <w:sz w:val="24"/>
          <w:szCs w:val="24"/>
          <w:color w:val="auto"/>
        </w:rPr>
        <w:br w:type="column"/>
      </w:r>
    </w:p>
    <w:p>
      <w:pPr>
        <w:spacing w:after="0" w:line="183" w:lineRule="exact"/>
        <w:rPr>
          <w:sz w:val="24"/>
          <w:szCs w:val="24"/>
          <w:color w:val="auto"/>
        </w:rPr>
      </w:pPr>
    </w:p>
    <w:p>
      <w:pPr>
        <w:jc w:val="center"/>
        <w:ind w:right="580"/>
        <w:spacing w:after="0"/>
        <w:rPr>
          <w:sz w:val="20"/>
          <w:szCs w:val="20"/>
          <w:color w:val="auto"/>
        </w:rPr>
      </w:pPr>
      <w:r>
        <w:rPr>
          <w:rFonts w:ascii="Times New Roman" w:cs="Times New Roman" w:eastAsia="Times New Roman" w:hAnsi="Times New Roman"/>
          <w:sz w:val="18"/>
          <w:szCs w:val="18"/>
          <w:b w:val="1"/>
          <w:bCs w:val="1"/>
          <w:color w:val="auto"/>
        </w:rPr>
        <w:t>82-2318545</w:t>
      </w:r>
    </w:p>
    <w:p>
      <w:pPr>
        <w:spacing w:after="0" w:line="31" w:lineRule="exact"/>
        <w:rPr>
          <w:sz w:val="24"/>
          <w:szCs w:val="24"/>
          <w:color w:val="auto"/>
        </w:rPr>
      </w:pPr>
    </w:p>
    <w:p>
      <w:pPr>
        <w:jc w:val="center"/>
        <w:ind w:right="600"/>
        <w:spacing w:after="0"/>
        <w:rPr>
          <w:sz w:val="20"/>
          <w:szCs w:val="20"/>
          <w:color w:val="auto"/>
        </w:rPr>
      </w:pPr>
      <w:r>
        <w:rPr>
          <w:rFonts w:ascii="Times New Roman" w:cs="Times New Roman" w:eastAsia="Times New Roman" w:hAnsi="Times New Roman"/>
          <w:sz w:val="18"/>
          <w:szCs w:val="18"/>
          <w:color w:val="auto"/>
        </w:rPr>
        <w:t>(I.R.S. Employer Identification No.)</w:t>
      </w:r>
    </w:p>
    <w:p>
      <w:pPr>
        <w:spacing w:after="0" w:line="9" w:lineRule="exact"/>
        <w:rPr>
          <w:sz w:val="24"/>
          <w:szCs w:val="24"/>
          <w:color w:val="auto"/>
        </w:rPr>
      </w:pPr>
    </w:p>
    <w:p>
      <w:pPr>
        <w:sectPr>
          <w:pgSz w:w="11900" w:h="16838" w:orient="portrait"/>
          <w:cols w:equalWidth="0" w:num="3">
            <w:col w:w="3920" w:space="720"/>
            <w:col w:w="2660" w:space="720"/>
            <w:col w:w="3220"/>
          </w:cols>
          <w:pgMar w:left="320" w:top="441" w:right="339" w:bottom="1440" w:gutter="0" w:footer="0" w:header="0"/>
          <w:type w:val="continuous"/>
        </w:sectPr>
      </w:pPr>
    </w:p>
    <w:p>
      <w:pPr>
        <w:ind w:left="840"/>
        <w:spacing w:after="0"/>
        <w:rPr>
          <w:sz w:val="20"/>
          <w:szCs w:val="20"/>
          <w:color w:val="auto"/>
        </w:rPr>
      </w:pPr>
      <w:r>
        <w:rPr>
          <w:rFonts w:ascii="Times New Roman" w:cs="Times New Roman" w:eastAsia="Times New Roman" w:hAnsi="Times New Roman"/>
          <w:sz w:val="18"/>
          <w:szCs w:val="18"/>
          <w:color w:val="auto"/>
        </w:rPr>
        <w:t>incorporation or organization)</w:t>
      </w:r>
    </w:p>
    <w:p>
      <w:pPr>
        <w:spacing w:after="0" w:line="203"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2100 West Loop South, Suite 900</w:t>
      </w:r>
    </w:p>
    <w:p>
      <w:pPr>
        <w:spacing w:after="0" w:line="31"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b w:val="1"/>
          <w:bCs w:val="1"/>
          <w:color w:val="auto"/>
        </w:rPr>
        <w:t>Houston, Texas 77027</w:t>
      </w:r>
    </w:p>
    <w:p>
      <w:pPr>
        <w:spacing w:after="0" w:line="9" w:lineRule="exact"/>
        <w:rPr>
          <w:sz w:val="24"/>
          <w:szCs w:val="24"/>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(Address of principal executive offices) (Zip Code)</w:t>
      </w:r>
    </w:p>
    <w:p>
      <w:pPr>
        <w:sectPr>
          <w:pgSz w:w="11900" w:h="16838" w:orient="portrait"/>
          <w:cols w:equalWidth="0" w:num="1">
            <w:col w:w="11240"/>
          </w:cols>
          <w:pgMar w:left="320" w:top="441" w:right="339" w:bottom="1440" w:gutter="0" w:footer="0" w:header="0"/>
          <w:type w:val="continuous"/>
        </w:sectPr>
      </w:pPr>
    </w:p>
    <w:p>
      <w:pPr>
        <w:spacing w:after="0" w:line="203"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Registrant’s telephone number, including area code: (800) 946-9185</w:t>
      </w:r>
    </w:p>
    <w:p>
      <w:pPr>
        <w:spacing w:after="0" w:line="225"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b w:val="1"/>
          <w:bCs w:val="1"/>
          <w:color w:val="auto"/>
        </w:rPr>
        <w:t>Not Applicable</w:t>
      </w:r>
    </w:p>
    <w:p>
      <w:pPr>
        <w:spacing w:after="0" w:line="31" w:lineRule="exact"/>
        <w:rPr>
          <w:sz w:val="24"/>
          <w:szCs w:val="24"/>
          <w:color w:val="auto"/>
        </w:rPr>
      </w:pPr>
    </w:p>
    <w:p>
      <w:pPr>
        <w:jc w:val="center"/>
        <w:spacing w:after="0"/>
        <w:rPr>
          <w:sz w:val="20"/>
          <w:szCs w:val="20"/>
          <w:color w:val="auto"/>
        </w:rPr>
      </w:pPr>
      <w:r>
        <w:rPr>
          <w:rFonts w:ascii="Times New Roman" w:cs="Times New Roman" w:eastAsia="Times New Roman" w:hAnsi="Times New Roman"/>
          <w:sz w:val="18"/>
          <w:szCs w:val="18"/>
          <w:color w:val="auto"/>
        </w:rPr>
        <w:t>(Former Name or Former Address, if Changed Since Last Report)</w:t>
      </w:r>
    </w:p>
    <w:p>
      <w:pPr>
        <w:spacing w:after="0" w:line="9" w:lineRule="exact"/>
        <w:rPr>
          <w:sz w:val="24"/>
          <w:szCs w:val="24"/>
          <w:color w:val="auto"/>
        </w:rPr>
      </w:pPr>
    </w:p>
    <w:p>
      <w:pPr>
        <w:ind w:left="4400"/>
        <w:spacing w:after="0"/>
        <w:rPr>
          <w:sz w:val="20"/>
          <w:szCs w:val="20"/>
          <w:color w:val="auto"/>
        </w:rPr>
      </w:pPr>
      <w:r>
        <w:rPr>
          <w:rFonts w:ascii="Times New Roman" w:cs="Times New Roman" w:eastAsia="Times New Roman" w:hAnsi="Times New Roman"/>
          <w:sz w:val="18"/>
          <w:szCs w:val="18"/>
          <w:color w:val="auto"/>
        </w:rPr>
        <w:t>___________________________</w:t>
      </w:r>
    </w:p>
    <w:p>
      <w:pPr>
        <w:spacing w:after="0" w:line="207" w:lineRule="exact"/>
        <w:rPr>
          <w:sz w:val="24"/>
          <w:szCs w:val="24"/>
          <w:color w:val="auto"/>
        </w:rPr>
      </w:pPr>
    </w:p>
    <w:p>
      <w:pPr>
        <w:ind w:firstLine="324"/>
        <w:spacing w:after="0" w:line="282" w:lineRule="auto"/>
        <w:rPr>
          <w:sz w:val="20"/>
          <w:szCs w:val="20"/>
          <w:color w:val="auto"/>
        </w:rPr>
      </w:pPr>
      <w:r>
        <w:rPr>
          <w:rFonts w:ascii="Times New Roman" w:cs="Times New Roman" w:eastAsia="Times New Roman" w:hAnsi="Times New Roman"/>
          <w:sz w:val="18"/>
          <w:szCs w:val="18"/>
          <w:color w:val="auto"/>
        </w:rPr>
        <w:t>Check the appropriate box below if the Form 8-K filing is intended to simultaneously satisfy the filing obligation of the registrant under any of the following provisions (</w:t>
      </w:r>
      <w:r>
        <w:rPr>
          <w:rFonts w:ascii="Times New Roman" w:cs="Times New Roman" w:eastAsia="Times New Roman" w:hAnsi="Times New Roman"/>
          <w:sz w:val="18"/>
          <w:szCs w:val="18"/>
          <w:i w:val="1"/>
          <w:iCs w:val="1"/>
          <w:color w:val="auto"/>
        </w:rPr>
        <w:t>see</w:t>
      </w:r>
      <w:r>
        <w:rPr>
          <w:rFonts w:ascii="Times New Roman" w:cs="Times New Roman" w:eastAsia="Times New Roman" w:hAnsi="Times New Roman"/>
          <w:sz w:val="18"/>
          <w:szCs w:val="18"/>
          <w:color w:val="auto"/>
        </w:rPr>
        <w:t xml:space="preserve"> General Instruction A.2. below):</w:t>
      </w:r>
    </w:p>
    <w:p>
      <w:pPr>
        <w:spacing w:after="0" w:line="162" w:lineRule="exact"/>
        <w:rPr>
          <w:sz w:val="24"/>
          <w:szCs w:val="24"/>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Written communications pursuant to Rule 425 under the Securities Act (17 CFR 230.425)</w:t>
      </w:r>
    </w:p>
    <w:p>
      <w:pPr>
        <w:spacing w:after="0" w:line="225" w:lineRule="exact"/>
        <w:rPr>
          <w:rFonts w:ascii="MS PGothic" w:cs="MS PGothic" w:eastAsia="MS PGothic" w:hAnsi="MS PGothic"/>
          <w:sz w:val="18"/>
          <w:szCs w:val="18"/>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Soliciting material pursuant to Rule 14a-12 under the Exchange Act (17 CFR 240.14a-12)</w:t>
      </w:r>
    </w:p>
    <w:p>
      <w:pPr>
        <w:spacing w:after="0" w:line="225" w:lineRule="exact"/>
        <w:rPr>
          <w:rFonts w:ascii="MS PGothic" w:cs="MS PGothic" w:eastAsia="MS PGothic" w:hAnsi="MS PGothic"/>
          <w:sz w:val="18"/>
          <w:szCs w:val="18"/>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Pre-commencement communications pursuant to Rule 14d-2(b) under the Exchange Act (17 CFR 240.14d-2(b))</w:t>
      </w:r>
    </w:p>
    <w:p>
      <w:pPr>
        <w:spacing w:after="0" w:line="225" w:lineRule="exact"/>
        <w:rPr>
          <w:rFonts w:ascii="MS PGothic" w:cs="MS PGothic" w:eastAsia="MS PGothic" w:hAnsi="MS PGothic"/>
          <w:sz w:val="18"/>
          <w:szCs w:val="18"/>
          <w:color w:val="auto"/>
        </w:rPr>
      </w:pPr>
    </w:p>
    <w:p>
      <w:pPr>
        <w:ind w:left="840" w:hanging="378"/>
        <w:spacing w:after="0"/>
        <w:tabs>
          <w:tab w:leader="none" w:pos="840" w:val="left"/>
        </w:tabs>
        <w:numPr>
          <w:ilvl w:val="0"/>
          <w:numId w:val="1"/>
        </w:numPr>
        <w:rPr>
          <w:rFonts w:ascii="MS PGothic" w:cs="MS PGothic" w:eastAsia="MS PGothic" w:hAnsi="MS PGothic"/>
          <w:sz w:val="18"/>
          <w:szCs w:val="18"/>
          <w:color w:val="auto"/>
        </w:rPr>
      </w:pPr>
      <w:r>
        <w:rPr>
          <w:rFonts w:ascii="Times New Roman" w:cs="Times New Roman" w:eastAsia="Times New Roman" w:hAnsi="Times New Roman"/>
          <w:sz w:val="18"/>
          <w:szCs w:val="18"/>
          <w:color w:val="auto"/>
        </w:rPr>
        <w:t>Pre-commencement communications pursuant to Rule 13e-4(c) under the Exchange Act (17 CFR 240.13e-4(c))</w:t>
      </w:r>
    </w:p>
    <w:p>
      <w:pPr>
        <w:spacing w:after="0" w:line="225" w:lineRule="exact"/>
        <w:rPr>
          <w:sz w:val="24"/>
          <w:szCs w:val="24"/>
          <w:color w:val="auto"/>
        </w:rPr>
      </w:pPr>
    </w:p>
    <w:p>
      <w:pPr>
        <w:ind w:right="20"/>
        <w:spacing w:after="0" w:line="282" w:lineRule="auto"/>
        <w:rPr>
          <w:sz w:val="20"/>
          <w:szCs w:val="20"/>
          <w:color w:val="auto"/>
        </w:rPr>
      </w:pPr>
      <w:r>
        <w:rPr>
          <w:rFonts w:ascii="Times New Roman" w:cs="Times New Roman" w:eastAsia="Times New Roman" w:hAnsi="Times New Roman"/>
          <w:sz w:val="18"/>
          <w:szCs w:val="18"/>
          <w:color w:val="auto"/>
        </w:rPr>
        <w:t>Indicate by check mark whether the registrant is an emerging growth company as defined in Rule 405 of the Securities Act of 1933 (§230.405 of this chapter) or Rule 12b-2 of the Securities Exchange Act of 1934 (§240.12b-2 of this chapter).</w:t>
      </w:r>
    </w:p>
    <w:p>
      <w:pPr>
        <w:spacing w:after="0" w:line="121" w:lineRule="exact"/>
        <w:rPr>
          <w:sz w:val="24"/>
          <w:szCs w:val="24"/>
          <w:color w:val="auto"/>
        </w:rPr>
      </w:pPr>
    </w:p>
    <w:p>
      <w:pPr>
        <w:ind w:left="8940"/>
        <w:spacing w:after="0" w:line="207" w:lineRule="exact"/>
        <w:rPr>
          <w:sz w:val="20"/>
          <w:szCs w:val="20"/>
          <w:color w:val="auto"/>
        </w:rPr>
      </w:pPr>
      <w:r>
        <w:rPr>
          <w:rFonts w:ascii="Times New Roman" w:cs="Times New Roman" w:eastAsia="Times New Roman" w:hAnsi="Times New Roman"/>
          <w:sz w:val="18"/>
          <w:szCs w:val="18"/>
          <w:color w:val="auto"/>
        </w:rPr>
        <w:t xml:space="preserve">Emerging growth company </w:t>
      </w:r>
      <w:r>
        <w:rPr>
          <w:rFonts w:ascii="MS PGothic" w:cs="MS PGothic" w:eastAsia="MS PGothic" w:hAnsi="MS PGothic"/>
          <w:sz w:val="18"/>
          <w:szCs w:val="18"/>
          <w:color w:val="auto"/>
        </w:rPr>
        <w:t>☒</w:t>
      </w:r>
    </w:p>
    <w:p>
      <w:pPr>
        <w:spacing w:after="0" w:line="266" w:lineRule="exact"/>
        <w:rPr>
          <w:sz w:val="24"/>
          <w:szCs w:val="24"/>
          <w:color w:val="auto"/>
        </w:rPr>
      </w:pPr>
    </w:p>
    <w:p>
      <w:pPr>
        <w:spacing w:after="0" w:line="239" w:lineRule="exact"/>
        <w:rPr>
          <w:sz w:val="20"/>
          <w:szCs w:val="20"/>
          <w:color w:val="auto"/>
        </w:rPr>
      </w:pPr>
      <w:r>
        <w:rPr>
          <w:rFonts w:ascii="Times New Roman" w:cs="Times New Roman" w:eastAsia="Times New Roman" w:hAnsi="Times New Roman"/>
          <w:sz w:val="18"/>
          <w:szCs w:val="18"/>
          <w:color w:val="auto"/>
        </w:rPr>
        <w:t xml:space="preserve">If an emerging growth company, indicate by check mark if the registrant has elected not to use the extended transition period for complying with any new or revised financial accounting standards provided pursuant to Section 13(a) of the Exchange Act. </w:t>
      </w:r>
      <w:r>
        <w:rPr>
          <w:rFonts w:ascii="MS PGothic" w:cs="MS PGothic" w:eastAsia="MS PGothic" w:hAnsi="MS PGothic"/>
          <w:sz w:val="18"/>
          <w:szCs w:val="18"/>
          <w:color w:val="auto"/>
        </w:rPr>
        <w:t>☐</w:t>
      </w:r>
    </w:p>
    <w:p>
      <w:pPr>
        <w:spacing w:after="0" w:line="170" w:lineRule="exact"/>
        <w:rPr>
          <w:sz w:val="24"/>
          <w:szCs w:val="24"/>
          <w:color w:val="auto"/>
        </w:rPr>
      </w:pPr>
    </w:p>
    <w:p>
      <w:pPr>
        <w:spacing w:after="0"/>
        <w:rPr>
          <w:sz w:val="20"/>
          <w:szCs w:val="20"/>
          <w:color w:val="auto"/>
        </w:rPr>
      </w:pPr>
      <w:r>
        <w:rPr>
          <w:rFonts w:ascii="Times New Roman" w:cs="Times New Roman" w:eastAsia="Times New Roman" w:hAnsi="Times New Roman"/>
          <w:sz w:val="18"/>
          <w:szCs w:val="18"/>
          <w:color w:val="auto"/>
        </w:rPr>
        <w:t>Securities registered pursuant to Section 12(b) of the Act:</w:t>
      </w:r>
    </w:p>
    <w:p>
      <w:pPr>
        <w:spacing w:after="0" w:line="223" w:lineRule="exact"/>
        <w:rPr>
          <w:sz w:val="24"/>
          <w:szCs w:val="24"/>
          <w:color w:val="auto"/>
        </w:rPr>
      </w:pPr>
    </w:p>
    <w:tbl>
      <w:tblPr>
        <w:tblLayout w:type="fixed"/>
        <w:tblInd w:w="10" w:type="dxa"/>
        <w:tblCellMar>
          <w:top w:w="0" w:type="dxa"/>
          <w:left w:w="0" w:type="dxa"/>
          <w:bottom w:w="0" w:type="dxa"/>
          <w:right w:w="0" w:type="dxa"/>
        </w:tblCellMar>
      </w:tblPr>
      <w:tr>
        <w:trPr>
          <w:trHeight w:val="230"/>
        </w:trPr>
        <w:tc>
          <w:tcPr>
            <w:tcW w:w="4520" w:type="dxa"/>
            <w:vAlign w:val="bottom"/>
            <w:tcBorders>
              <w:top w:val="single" w:sz="8" w:color="auto"/>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rPr>
              <w:t>Title of each class</w:t>
            </w:r>
          </w:p>
        </w:tc>
        <w:tc>
          <w:tcPr>
            <w:tcW w:w="2240" w:type="dxa"/>
            <w:vAlign w:val="bottom"/>
            <w:tcBorders>
              <w:top w:val="single" w:sz="8" w:color="auto"/>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Trading Symbols(s)</w:t>
            </w:r>
          </w:p>
        </w:tc>
        <w:tc>
          <w:tcPr>
            <w:tcW w:w="4480" w:type="dxa"/>
            <w:vAlign w:val="bottom"/>
            <w:tcBorders>
              <w:top w:val="single" w:sz="8" w:color="auto"/>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Name of each exchange on which registered</w:t>
            </w:r>
          </w:p>
        </w:tc>
      </w:tr>
      <w:tr>
        <w:trPr>
          <w:trHeight w:val="209"/>
        </w:trPr>
        <w:tc>
          <w:tcPr>
            <w:tcW w:w="4520" w:type="dxa"/>
            <w:vAlign w:val="bottom"/>
            <w:tcBorders>
              <w:left w:val="single" w:sz="8" w:color="auto"/>
              <w:bottom w:val="single" w:sz="8" w:color="auto"/>
              <w:right w:val="single" w:sz="8" w:color="auto"/>
            </w:tcBorders>
          </w:tcPr>
          <w:p>
            <w:pPr>
              <w:ind w:left="20"/>
              <w:spacing w:after="0"/>
              <w:rPr>
                <w:sz w:val="20"/>
                <w:szCs w:val="20"/>
                <w:color w:val="auto"/>
              </w:rPr>
            </w:pPr>
            <w:r>
              <w:rPr>
                <w:rFonts w:ascii="Times New Roman" w:cs="Times New Roman" w:eastAsia="Times New Roman" w:hAnsi="Times New Roman"/>
                <w:sz w:val="18"/>
                <w:szCs w:val="18"/>
                <w:color w:val="auto"/>
              </w:rPr>
              <w:t>Common stock, par value $0.001 per share</w:t>
            </w:r>
          </w:p>
        </w:tc>
        <w:tc>
          <w:tcPr>
            <w:tcW w:w="224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CNSP</w:t>
            </w:r>
          </w:p>
        </w:tc>
        <w:tc>
          <w:tcPr>
            <w:tcW w:w="4480" w:type="dxa"/>
            <w:vAlign w:val="bottom"/>
            <w:tcBorders>
              <w:bottom w:val="single" w:sz="8" w:color="auto"/>
              <w:right w:val="single" w:sz="8" w:color="auto"/>
            </w:tcBorders>
          </w:tcPr>
          <w:p>
            <w:pPr>
              <w:spacing w:after="0"/>
              <w:rPr>
                <w:sz w:val="20"/>
                <w:szCs w:val="20"/>
                <w:color w:val="auto"/>
              </w:rPr>
            </w:pPr>
            <w:r>
              <w:rPr>
                <w:rFonts w:ascii="Times New Roman" w:cs="Times New Roman" w:eastAsia="Times New Roman" w:hAnsi="Times New Roman"/>
                <w:sz w:val="18"/>
                <w:szCs w:val="18"/>
                <w:color w:val="auto"/>
              </w:rPr>
              <w:t>The NASDAQ Stock Market LLC</w:t>
            </w:r>
          </w:p>
        </w:tc>
      </w:tr>
      <w:tr>
        <w:trPr>
          <w:trHeight w:val="749"/>
        </w:trPr>
        <w:tc>
          <w:tcPr>
            <w:tcW w:w="4520" w:type="dxa"/>
            <w:vAlign w:val="bottom"/>
            <w:tcBorders>
              <w:bottom w:val="single" w:sz="8" w:color="auto"/>
            </w:tcBorders>
          </w:tcPr>
          <w:p>
            <w:pPr>
              <w:spacing w:after="0"/>
              <w:rPr>
                <w:sz w:val="24"/>
                <w:szCs w:val="24"/>
                <w:color w:val="auto"/>
              </w:rPr>
            </w:pPr>
          </w:p>
        </w:tc>
        <w:tc>
          <w:tcPr>
            <w:tcW w:w="2240" w:type="dxa"/>
            <w:vAlign w:val="bottom"/>
            <w:tcBorders>
              <w:bottom w:val="single" w:sz="8" w:color="auto"/>
            </w:tcBorders>
          </w:tcPr>
          <w:p>
            <w:pPr>
              <w:spacing w:after="0"/>
              <w:rPr>
                <w:sz w:val="24"/>
                <w:szCs w:val="24"/>
                <w:color w:val="auto"/>
              </w:rPr>
            </w:pPr>
          </w:p>
        </w:tc>
        <w:tc>
          <w:tcPr>
            <w:tcW w:w="4480" w:type="dxa"/>
            <w:vAlign w:val="bottom"/>
            <w:tcBorders>
              <w:bottom w:val="single" w:sz="8" w:color="auto"/>
            </w:tcBorders>
          </w:tcPr>
          <w:p>
            <w:pPr>
              <w:spacing w:after="0"/>
              <w:rPr>
                <w:sz w:val="24"/>
                <w:szCs w:val="24"/>
                <w:color w:val="auto"/>
              </w:rPr>
            </w:pPr>
          </w:p>
        </w:tc>
      </w:tr>
    </w:tbl>
    <w:p>
      <w:pPr>
        <w:sectPr>
          <w:pgSz w:w="11900" w:h="16838" w:orient="portrait"/>
          <w:cols w:equalWidth="0" w:num="1">
            <w:col w:w="11240"/>
          </w:cols>
          <w:pgMar w:left="320" w:top="441" w:right="339" w:bottom="1440" w:gutter="0" w:footer="0" w:header="0"/>
          <w:type w:val="continuous"/>
        </w:sectPr>
      </w:pPr>
    </w:p>
    <w:bookmarkStart w:id="1" w:name="page2"/>
    <w:bookmarkEnd w:id="1"/>
    <w:p>
      <w:pPr>
        <w:spacing w:after="0"/>
        <w:rPr>
          <w:sz w:val="20"/>
          <w:szCs w:val="20"/>
          <w:color w:val="auto"/>
        </w:rPr>
      </w:pPr>
      <w:r>
        <w:rPr>
          <w:rFonts w:ascii="Times New Roman" w:cs="Times New Roman" w:eastAsia="Times New Roman" w:hAnsi="Times New Roman"/>
          <w:sz w:val="18"/>
          <w:szCs w:val="18"/>
          <w:b w:val="1"/>
          <w:bCs w:val="1"/>
          <w:color w:val="auto"/>
        </w:rPr>
        <w:t>Item 8.01. Other Events.</w:t>
      </w:r>
    </w:p>
    <w:p>
      <w:pPr>
        <w:spacing w:after="0" w:line="229" w:lineRule="exact"/>
        <w:rPr>
          <w:sz w:val="20"/>
          <w:szCs w:val="20"/>
          <w:color w:val="auto"/>
        </w:rPr>
      </w:pPr>
    </w:p>
    <w:p>
      <w:pPr>
        <w:jc w:val="both"/>
        <w:spacing w:after="0" w:line="255" w:lineRule="auto"/>
        <w:rPr>
          <w:sz w:val="20"/>
          <w:szCs w:val="20"/>
          <w:color w:val="auto"/>
        </w:rPr>
      </w:pPr>
      <w:r>
        <w:rPr>
          <w:rFonts w:ascii="Times New Roman" w:cs="Times New Roman" w:eastAsia="Times New Roman" w:hAnsi="Times New Roman"/>
          <w:sz w:val="18"/>
          <w:szCs w:val="18"/>
          <w:color w:val="auto"/>
        </w:rPr>
        <w:t>As previously disclosed, on September 12, 2024, CNS Pharmaceuticals, Inc. (the “Company”) received a letter from the Staff of Listing Qualifications Department of The Nasdaq Stock Market (“Nasdaq”) notifying the Company that for the previous 30 consecutive business days the Company’s common stock had not maintained a closing bid price of $1.00 per share (the “Bid Price Rule”) required for continued listing on The Nasdaq Capital Market pursuant to Nasdaq Listing Rule 5550(a)(2). Normally, a company would be afforded a 180-calendar day period to demonstrate compliance with the Bid Price Rule. However, pursuant to Listing Rule 5810(c)(3)(A)(iv), the Company was not eligible for any compliance period specified in Listing Rule 5810(c)(3)(A) because the Company effected one or more reverse stock splits over the prior two-year period with a cumulative ratio of 250 shares or more to one. On October 30, 2024, the Company was provided a temporary exception to regain compliance with the Bid Price Rule until March 11, 2025.</w:t>
      </w:r>
    </w:p>
    <w:p>
      <w:pPr>
        <w:spacing w:after="0" w:line="189"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On March 31, 2025, the Company received a letter from Nasdaq notifying the Company that it had regained compliance with Bid Price Rule.</w:t>
      </w:r>
    </w:p>
    <w:p>
      <w:pPr>
        <w:spacing w:after="0" w:line="225" w:lineRule="exact"/>
        <w:rPr>
          <w:sz w:val="20"/>
          <w:szCs w:val="20"/>
          <w:color w:val="auto"/>
        </w:rPr>
      </w:pPr>
    </w:p>
    <w:p>
      <w:pPr>
        <w:jc w:val="both"/>
        <w:spacing w:after="0" w:line="256" w:lineRule="auto"/>
        <w:rPr>
          <w:sz w:val="20"/>
          <w:szCs w:val="20"/>
          <w:color w:val="auto"/>
        </w:rPr>
      </w:pPr>
      <w:r>
        <w:rPr>
          <w:rFonts w:ascii="Times New Roman" w:cs="Times New Roman" w:eastAsia="Times New Roman" w:hAnsi="Times New Roman"/>
          <w:sz w:val="18"/>
          <w:szCs w:val="18"/>
          <w:color w:val="auto"/>
        </w:rPr>
        <w:t>Pursuant to the letter, in application of Listing Rule 5815(d)(4)(B), the Company will be subject to a Mandatory Panel Monitor for a period of one year from the date of the letter. If, within that one-year monitoring period, the Staff finds the Company again out of compliance with the Bid Price Rule that was the subject of the exception, notwithstanding Rule 5810(c)(2), the Company will not be permitted to provide the Staff with a plan of compliance with respect to that deficiency and Staff will not be permitted to grant additional time for the Company to regain compliance with respect to that deficiency, nor will the company be afforded an applicable cure or compliance period pursuant to Rule 5810(c)(3). Instead, Staff will issue a delist determination letter and the Company will have an opportunity to request a new hearing.</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31"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2</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p>
      <w:pPr>
        <w:sectPr>
          <w:pgSz w:w="11900" w:h="16838" w:orient="portrait"/>
          <w:cols w:equalWidth="0" w:num="1">
            <w:col w:w="11240"/>
          </w:cols>
          <w:pgMar w:left="320" w:top="792" w:right="339" w:bottom="1440" w:gutter="0" w:footer="0" w:header="0"/>
        </w:sectPr>
      </w:pPr>
    </w:p>
    <w:bookmarkStart w:id="2" w:name="page3"/>
    <w:bookmarkEnd w:id="2"/>
    <w:p>
      <w:pPr>
        <w:jc w:val="center"/>
        <w:spacing w:after="0"/>
        <w:rPr>
          <w:sz w:val="20"/>
          <w:szCs w:val="20"/>
          <w:color w:val="auto"/>
        </w:rPr>
      </w:pPr>
      <w:r>
        <w:rPr>
          <w:rFonts w:ascii="Times New Roman" w:cs="Times New Roman" w:eastAsia="Times New Roman" w:hAnsi="Times New Roman"/>
          <w:sz w:val="18"/>
          <w:szCs w:val="18"/>
          <w:b w:val="1"/>
          <w:bCs w:val="1"/>
          <w:color w:val="auto"/>
        </w:rPr>
        <w:t>Signature</w:t>
      </w:r>
    </w:p>
    <w:p>
      <w:pPr>
        <w:spacing w:after="0" w:line="229" w:lineRule="exact"/>
        <w:rPr>
          <w:sz w:val="20"/>
          <w:szCs w:val="20"/>
          <w:color w:val="auto"/>
        </w:rPr>
      </w:pPr>
    </w:p>
    <w:p>
      <w:pPr>
        <w:ind w:firstLine="486"/>
        <w:spacing w:after="0" w:line="282" w:lineRule="auto"/>
        <w:rPr>
          <w:sz w:val="20"/>
          <w:szCs w:val="20"/>
          <w:color w:val="auto"/>
        </w:rPr>
      </w:pPr>
      <w:r>
        <w:rPr>
          <w:rFonts w:ascii="Times New Roman" w:cs="Times New Roman" w:eastAsia="Times New Roman" w:hAnsi="Times New Roman"/>
          <w:sz w:val="18"/>
          <w:szCs w:val="18"/>
          <w:color w:val="auto"/>
        </w:rPr>
        <w:t>Pursuant to the requirements of the Securities Exchange Act of 1934, the registrant has duly caused this report to be signed on its behalf by the undersigned hereunto duly authorized.</w:t>
      </w:r>
    </w:p>
    <w:p>
      <w:pPr>
        <w:spacing w:after="0" w:line="378" w:lineRule="exact"/>
        <w:rPr>
          <w:sz w:val="20"/>
          <w:szCs w:val="20"/>
          <w:color w:val="auto"/>
        </w:rPr>
      </w:pPr>
    </w:p>
    <w:p>
      <w:pPr>
        <w:ind w:left="5740"/>
        <w:spacing w:after="0"/>
        <w:rPr>
          <w:sz w:val="20"/>
          <w:szCs w:val="20"/>
          <w:color w:val="auto"/>
        </w:rPr>
      </w:pPr>
      <w:r>
        <w:rPr>
          <w:rFonts w:ascii="Times New Roman" w:cs="Times New Roman" w:eastAsia="Times New Roman" w:hAnsi="Times New Roman"/>
          <w:sz w:val="18"/>
          <w:szCs w:val="18"/>
          <w:color w:val="auto"/>
        </w:rPr>
        <w:t>CNS Pharmaceuticals, Inc.</w:t>
      </w:r>
    </w:p>
    <w:p>
      <w:pPr>
        <w:spacing w:after="0" w:line="200" w:lineRule="exact"/>
        <w:rPr>
          <w:sz w:val="20"/>
          <w:szCs w:val="20"/>
          <w:color w:val="auto"/>
        </w:rPr>
      </w:pPr>
    </w:p>
    <w:p>
      <w:pPr>
        <w:spacing w:after="0" w:line="241" w:lineRule="exact"/>
        <w:rPr>
          <w:sz w:val="20"/>
          <w:szCs w:val="20"/>
          <w:color w:val="auto"/>
        </w:rPr>
      </w:pPr>
    </w:p>
    <w:p>
      <w:pPr>
        <w:ind w:left="5740"/>
        <w:spacing w:after="0"/>
        <w:rPr>
          <w:sz w:val="20"/>
          <w:szCs w:val="20"/>
          <w:color w:val="auto"/>
        </w:rPr>
      </w:pPr>
      <w:r>
        <w:rPr>
          <w:rFonts w:ascii="Times New Roman" w:cs="Times New Roman" w:eastAsia="Times New Roman" w:hAnsi="Times New Roman"/>
          <w:sz w:val="18"/>
          <w:szCs w:val="18"/>
          <w:color w:val="auto"/>
        </w:rPr>
        <w:t>By: /s/ Chris Downs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3862705</wp:posOffset>
            </wp:positionH>
            <wp:positionV relativeFrom="paragraph">
              <wp:posOffset>-7620</wp:posOffset>
            </wp:positionV>
            <wp:extent cx="1421765" cy="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1421765" cy="8255"/>
                    </a:xfrm>
                    <a:prstGeom prst="rect">
                      <a:avLst/>
                    </a:prstGeom>
                    <a:noFill/>
                  </pic:spPr>
                </pic:pic>
              </a:graphicData>
            </a:graphic>
          </wp:anchor>
        </w:drawing>
      </w:r>
    </w:p>
    <w:p>
      <w:pPr>
        <w:spacing w:after="0" w:line="7" w:lineRule="exact"/>
        <w:rPr>
          <w:sz w:val="20"/>
          <w:szCs w:val="20"/>
          <w:color w:val="auto"/>
        </w:rPr>
      </w:pPr>
    </w:p>
    <w:p>
      <w:pPr>
        <w:ind w:left="6080"/>
        <w:spacing w:after="0"/>
        <w:rPr>
          <w:sz w:val="20"/>
          <w:szCs w:val="20"/>
          <w:color w:val="auto"/>
        </w:rPr>
      </w:pPr>
      <w:r>
        <w:rPr>
          <w:rFonts w:ascii="Times New Roman" w:cs="Times New Roman" w:eastAsia="Times New Roman" w:hAnsi="Times New Roman"/>
          <w:sz w:val="18"/>
          <w:szCs w:val="18"/>
          <w:color w:val="auto"/>
        </w:rPr>
        <w:t>Chris Downs</w:t>
      </w:r>
    </w:p>
    <w:p>
      <w:pPr>
        <w:spacing w:after="0" w:line="9" w:lineRule="exact"/>
        <w:rPr>
          <w:sz w:val="20"/>
          <w:szCs w:val="20"/>
          <w:color w:val="auto"/>
        </w:rPr>
      </w:pPr>
    </w:p>
    <w:p>
      <w:pPr>
        <w:ind w:left="6080"/>
        <w:spacing w:after="0"/>
        <w:rPr>
          <w:sz w:val="20"/>
          <w:szCs w:val="20"/>
          <w:color w:val="auto"/>
        </w:rPr>
      </w:pPr>
      <w:r>
        <w:rPr>
          <w:rFonts w:ascii="Times New Roman" w:cs="Times New Roman" w:eastAsia="Times New Roman" w:hAnsi="Times New Roman"/>
          <w:sz w:val="18"/>
          <w:szCs w:val="18"/>
          <w:color w:val="auto"/>
        </w:rPr>
        <w:t>Chief Financial Officer</w:t>
      </w:r>
    </w:p>
    <w:p>
      <w:pPr>
        <w:spacing w:after="0" w:line="207"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Dated: March 31, 2025</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5" w:lineRule="exact"/>
        <w:rPr>
          <w:sz w:val="20"/>
          <w:szCs w:val="20"/>
          <w:color w:val="auto"/>
        </w:rPr>
      </w:pPr>
    </w:p>
    <w:p>
      <w:pPr>
        <w:jc w:val="center"/>
        <w:ind w:right="-19"/>
        <w:spacing w:after="0"/>
        <w:rPr>
          <w:sz w:val="20"/>
          <w:szCs w:val="20"/>
          <w:color w:val="auto"/>
        </w:rPr>
      </w:pPr>
      <w:r>
        <w:rPr>
          <w:rFonts w:ascii="Times New Roman" w:cs="Times New Roman" w:eastAsia="Times New Roman" w:hAnsi="Times New Roman"/>
          <w:sz w:val="18"/>
          <w:szCs w:val="18"/>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wp:posOffset>
            </wp:positionH>
            <wp:positionV relativeFrom="paragraph">
              <wp:posOffset>17145</wp:posOffset>
            </wp:positionV>
            <wp:extent cx="7132320" cy="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extLst>
                    </a:blip>
                    <a:srcRect/>
                    <a:stretch>
                      <a:fillRect/>
                    </a:stretch>
                  </pic:blipFill>
                  <pic:spPr bwMode="auto">
                    <a:xfrm>
                      <a:off x="0" y="0"/>
                      <a:ext cx="7132320" cy="8255"/>
                    </a:xfrm>
                    <a:prstGeom prst="rect">
                      <a:avLst/>
                    </a:prstGeom>
                    <a:noFill/>
                  </pic:spPr>
                </pic:pic>
              </a:graphicData>
            </a:graphic>
          </wp:anchor>
        </w:drawing>
      </w:r>
    </w:p>
    <w:sectPr>
      <w:pgSz w:w="11900" w:h="16838" w:orient="portrait"/>
      <w:cols w:equalWidth="0" w:num="1">
        <w:col w:w="11240"/>
      </w:cols>
      <w:pgMar w:left="320" w:top="792" w:right="339"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327B23C6"/>
    <w:multiLevelType w:val="hybridMultilevel"/>
    <w:lvl w:ilvl="0">
      <w:lvlJc w:val="left"/>
      <w:lvlText w:val="☐"/>
      <w:numFmt w:val="bullet"/>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2025-03-31T18:10:50Z</dcterms:created>
  <dcterms:modified xsi:type="dcterms:W3CDTF">2025-03-31T18:10:50Z</dcterms:modified>
</cp:coreProperties>
</file>