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Exchange Act of 1934</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Date of Report (Date of earliest event reported): March 20, 2025</w:t>
      </w:r>
    </w:p>
    <w:p>
      <w:pPr>
        <w:spacing w:after="0" w:line="43"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7"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ectPr>
          <w:pgSz w:w="11900" w:h="16838" w:orient="portrait"/>
          <w:cols w:equalWidth="0" w:num="1">
            <w:col w:w="11240"/>
          </w:cols>
          <w:pgMar w:left="320" w:top="441" w:right="339" w:bottom="1440" w:gutter="0" w:footer="0" w:header="0"/>
        </w:sectPr>
      </w:pPr>
    </w:p>
    <w:p>
      <w:pPr>
        <w:spacing w:after="0" w:line="203"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7"/>
          <w:szCs w:val="17"/>
          <w:color w:val="auto"/>
        </w:rPr>
        <w:t>(State or other jurisdiction of</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8"/>
          <w:szCs w:val="18"/>
          <w:b w:val="1"/>
          <w:bCs w:val="1"/>
          <w:color w:val="auto"/>
        </w:rPr>
        <w:t>001-39126</w:t>
      </w:r>
    </w:p>
    <w:p>
      <w:pPr>
        <w:spacing w:after="0" w:line="31"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7"/>
          <w:szCs w:val="17"/>
          <w:color w:val="auto"/>
        </w:rPr>
        <w:t>(Commission File Number)</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600"/>
        <w:spacing w:after="0"/>
        <w:rPr>
          <w:sz w:val="20"/>
          <w:szCs w:val="20"/>
          <w:color w:val="auto"/>
        </w:rPr>
      </w:pPr>
      <w:r>
        <w:rPr>
          <w:rFonts w:ascii="Times New Roman" w:cs="Times New Roman" w:eastAsia="Times New Roman" w:hAnsi="Times New Roman"/>
          <w:sz w:val="18"/>
          <w:szCs w:val="18"/>
          <w:color w:val="auto"/>
        </w:rPr>
        <w:t>(I.R.S. Employer Identification No.)</w:t>
      </w:r>
    </w:p>
    <w:p>
      <w:pPr>
        <w:spacing w:after="0" w:line="9" w:lineRule="exact"/>
        <w:rPr>
          <w:sz w:val="24"/>
          <w:szCs w:val="24"/>
          <w:color w:val="auto"/>
        </w:rPr>
      </w:pPr>
    </w:p>
    <w:p>
      <w:pPr>
        <w:sectPr>
          <w:pgSz w:w="11900" w:h="16838" w:orient="portrait"/>
          <w:cols w:equalWidth="0" w:num="3">
            <w:col w:w="3920" w:space="720"/>
            <w:col w:w="2660" w:space="720"/>
            <w:col w:w="3220"/>
          </w:cols>
          <w:pgMar w:left="320" w:top="441" w:right="339" w:bottom="1440" w:gutter="0" w:footer="0" w:header="0"/>
          <w:type w:val="continuous"/>
        </w:sectPr>
      </w:pPr>
    </w:p>
    <w:p>
      <w:pPr>
        <w:ind w:left="840"/>
        <w:spacing w:after="0"/>
        <w:rPr>
          <w:sz w:val="20"/>
          <w:szCs w:val="20"/>
          <w:color w:val="auto"/>
        </w:rPr>
      </w:pPr>
      <w:r>
        <w:rPr>
          <w:rFonts w:ascii="Times New Roman" w:cs="Times New Roman" w:eastAsia="Times New Roman" w:hAnsi="Times New Roman"/>
          <w:sz w:val="18"/>
          <w:szCs w:val="18"/>
          <w:color w:val="auto"/>
        </w:rPr>
        <w:t>incorporation or organization)</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Houston, Texas 77027</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(Address of principal executive offices) (Zip Code)</w:t>
      </w:r>
    </w:p>
    <w:p>
      <w:pPr>
        <w:sectPr>
          <w:pgSz w:w="11900" w:h="16838" w:orient="portrait"/>
          <w:cols w:equalWidth="0" w:num="1">
            <w:col w:w="11240"/>
          </w:cols>
          <w:pgMar w:left="320" w:top="441" w:right="339" w:bottom="1440" w:gutter="0" w:footer="0" w:header="0"/>
          <w:type w:val="continuous"/>
        </w:sectPr>
      </w:pP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Registrant’s telephone number, including area code: (800) 946-9185</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 Applicable</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7" w:lineRule="exact"/>
        <w:rPr>
          <w:sz w:val="24"/>
          <w:szCs w:val="24"/>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the registrant under any of the following provisions (</w:t>
      </w:r>
      <w:r>
        <w:rPr>
          <w:rFonts w:ascii="Times New Roman" w:cs="Times New Roman" w:eastAsia="Times New Roman" w:hAnsi="Times New Roman"/>
          <w:sz w:val="18"/>
          <w:szCs w:val="18"/>
          <w:i w:val="1"/>
          <w:iCs w:val="1"/>
          <w:color w:val="auto"/>
        </w:rPr>
        <w:t>see</w:t>
      </w:r>
      <w:r>
        <w:rPr>
          <w:rFonts w:ascii="Times New Roman" w:cs="Times New Roman" w:eastAsia="Times New Roman" w:hAnsi="Times New Roman"/>
          <w:sz w:val="18"/>
          <w:szCs w:val="18"/>
          <w:color w:val="auto"/>
        </w:rPr>
        <w:t xml:space="preserve"> General Instruction A.2. below):</w:t>
      </w:r>
    </w:p>
    <w:p>
      <w:pPr>
        <w:spacing w:after="0" w:line="162" w:lineRule="exact"/>
        <w:rPr>
          <w:sz w:val="24"/>
          <w:szCs w:val="24"/>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w:t>
      </w:r>
    </w:p>
    <w:p>
      <w:pPr>
        <w:spacing w:after="0" w:line="225" w:lineRule="exact"/>
        <w:rPr>
          <w:sz w:val="24"/>
          <w:szCs w:val="24"/>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21" w:lineRule="exact"/>
        <w:rPr>
          <w:sz w:val="24"/>
          <w:szCs w:val="24"/>
          <w:color w:val="auto"/>
        </w:rPr>
      </w:pPr>
    </w:p>
    <w:p>
      <w:pPr>
        <w:ind w:left="8940"/>
        <w:spacing w:after="0" w:line="207" w:lineRule="exact"/>
        <w:rPr>
          <w:sz w:val="20"/>
          <w:szCs w:val="20"/>
          <w:color w:val="auto"/>
        </w:rPr>
      </w:pPr>
      <w:r>
        <w:rPr>
          <w:rFonts w:ascii="Times New Roman" w:cs="Times New Roman" w:eastAsia="Times New Roman" w:hAnsi="Times New Roman"/>
          <w:sz w:val="18"/>
          <w:szCs w:val="18"/>
          <w:color w:val="auto"/>
        </w:rPr>
        <w:t xml:space="preserve">Emerging growth company </w:t>
      </w:r>
      <w:r>
        <w:rPr>
          <w:rFonts w:ascii="MS PGothic" w:cs="MS PGothic" w:eastAsia="MS PGothic" w:hAnsi="MS PGothic"/>
          <w:sz w:val="18"/>
          <w:szCs w:val="18"/>
          <w:color w:val="auto"/>
        </w:rPr>
        <w:t>☒</w:t>
      </w:r>
    </w:p>
    <w:p>
      <w:pPr>
        <w:spacing w:after="0" w:line="266" w:lineRule="exact"/>
        <w:rPr>
          <w:sz w:val="24"/>
          <w:szCs w:val="24"/>
          <w:color w:val="auto"/>
        </w:rPr>
      </w:pPr>
    </w:p>
    <w:p>
      <w:pPr>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30"/>
        </w:trPr>
        <w:tc>
          <w:tcPr>
            <w:tcW w:w="452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Title of each class</w:t>
            </w:r>
          </w:p>
        </w:tc>
        <w:tc>
          <w:tcPr>
            <w:tcW w:w="224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Trading Symbols(s)</w:t>
            </w:r>
          </w:p>
        </w:tc>
        <w:tc>
          <w:tcPr>
            <w:tcW w:w="448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Name of each exchange on which registered</w:t>
            </w:r>
          </w:p>
        </w:tc>
      </w:tr>
      <w:tr>
        <w:trPr>
          <w:trHeight w:val="209"/>
        </w:trPr>
        <w:tc>
          <w:tcPr>
            <w:tcW w:w="452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Common stock, par value $0.001 per share</w:t>
            </w:r>
          </w:p>
        </w:tc>
        <w:tc>
          <w:tcPr>
            <w:tcW w:w="224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CNSP</w:t>
            </w:r>
          </w:p>
        </w:tc>
        <w:tc>
          <w:tcPr>
            <w:tcW w:w="44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The NASDAQ Stock Market LLC</w:t>
            </w:r>
          </w:p>
        </w:tc>
      </w:tr>
      <w:tr>
        <w:trPr>
          <w:trHeight w:val="749"/>
        </w:trPr>
        <w:tc>
          <w:tcPr>
            <w:tcW w:w="4520" w:type="dxa"/>
            <w:vAlign w:val="bottom"/>
            <w:tcBorders>
              <w:bottom w:val="single" w:sz="8" w:color="auto"/>
            </w:tcBorders>
          </w:tcPr>
          <w:p>
            <w:pPr>
              <w:spacing w:after="0"/>
              <w:rPr>
                <w:sz w:val="24"/>
                <w:szCs w:val="24"/>
                <w:color w:val="auto"/>
              </w:rPr>
            </w:pPr>
          </w:p>
        </w:tc>
        <w:tc>
          <w:tcPr>
            <w:tcW w:w="2240" w:type="dxa"/>
            <w:vAlign w:val="bottom"/>
            <w:tcBorders>
              <w:bottom w:val="single" w:sz="8" w:color="auto"/>
            </w:tcBorders>
          </w:tcPr>
          <w:p>
            <w:pPr>
              <w:spacing w:after="0"/>
              <w:rPr>
                <w:sz w:val="24"/>
                <w:szCs w:val="24"/>
                <w:color w:val="auto"/>
              </w:rPr>
            </w:pPr>
          </w:p>
        </w:tc>
        <w:tc>
          <w:tcPr>
            <w:tcW w:w="44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441" w:right="339" w:bottom="1440" w:gutter="0" w:footer="0" w:header="0"/>
          <w:type w:val="continuous"/>
        </w:sectPr>
      </w:pPr>
    </w:p>
    <w:bookmarkStart w:id="1" w:name="page2"/>
    <w:bookmarkEnd w:id="1"/>
    <w:p>
      <w:pPr>
        <w:spacing w:after="0"/>
        <w:rPr>
          <w:sz w:val="20"/>
          <w:szCs w:val="20"/>
          <w:color w:val="auto"/>
        </w:rPr>
      </w:pPr>
      <w:r>
        <w:rPr>
          <w:rFonts w:ascii="Times New Roman" w:cs="Times New Roman" w:eastAsia="Times New Roman" w:hAnsi="Times New Roman"/>
          <w:sz w:val="18"/>
          <w:szCs w:val="18"/>
          <w:b w:val="1"/>
          <w:bCs w:val="1"/>
          <w:color w:val="auto"/>
        </w:rPr>
        <w:t>Item 8.01. Other Events.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As previously reported, on July 26, 2024, CNS Pharmaceuticals, Inc. (the “Company”) entered into a Sales Agreement (the “Agreement”) with A.G.P./Alliance Global Partners (“A.G.P.”). Pursuant to the terms of the Agreement, the Company originally was permitted to sell from time to time through A.G.P., as sales agent or principal, shares of the Company’s common stock, par value $0.001 per share (“Common Stock”) with initial aggregate sales price of up to $5.2 million (the “Shares”). On July 30, 2024, the Company increased the aggregate sales price of Shares that may be sold under the Agreement to $30.2 million (including the original $5.2 million). On March 20, 2025, the Company again increased the aggregate sales price of Shares that may be sold under the Agreement to $43.5 million (including $6,447,229.14 remaining from the $30.2 million).</w:t>
      </w:r>
    </w:p>
    <w:p>
      <w:pPr>
        <w:spacing w:after="0" w:line="18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As of March 20, 2025, the Company has sold 2,522,755 Shares pursuant to the Agreement for gross proceeds of approximately $23.75 million. As of March 20, 2025, the Company has 2,944,381 shares of common stock outstanding.</w:t>
      </w:r>
    </w:p>
    <w:p>
      <w:pPr>
        <w:spacing w:after="0" w:line="16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Any sale of Shares pursuant to the Agreement will be made under the Company’s effective “shelf” registration statement (the “Registration Statement”) on Form S-3 (File No. 333-279285), which became effective on May 17, 2024 and includes a base prospectus (the “Base Prospectus”), and under the related prospectus supplement (the “ATM Prospectus,” and collectively with the Base Prospectus, the “Prospectus”) filed with the Securities and Exchange Commission (the “SEC”) dated July 26, 2024 as supplemented on July 30, 2024 and March 20, 2025. The $43.5 million of Shares that may be offered, issued, and sold under the ATM Prospectus is included in the $75,000,000 of securities that may be offered, issued, and sold by the Company under the Registration Statement.</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9.01. Financial Statements and Exhibits.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 Exhibits</w:t>
      </w:r>
    </w:p>
    <w:p>
      <w:pPr>
        <w:spacing w:after="0" w:line="225" w:lineRule="exact"/>
        <w:rPr>
          <w:sz w:val="20"/>
          <w:szCs w:val="20"/>
          <w:color w:val="auto"/>
        </w:rPr>
      </w:pPr>
    </w:p>
    <w:p>
      <w:pPr>
        <w:jc w:val="both"/>
        <w:ind w:left="800" w:hanging="795"/>
        <w:spacing w:after="0" w:line="261" w:lineRule="auto"/>
        <w:tabs>
          <w:tab w:leader="none" w:pos="780" w:val="left"/>
        </w:tabs>
        <w:rPr>
          <w:rFonts w:ascii="Times New Roman" w:cs="Times New Roman" w:eastAsia="Times New Roman" w:hAnsi="Times New Roman"/>
          <w:sz w:val="18"/>
          <w:szCs w:val="18"/>
          <w:u w:val="single" w:color="auto"/>
          <w:color w:val="0000EE"/>
        </w:rPr>
      </w:pPr>
      <w:r>
        <w:rPr>
          <w:rFonts w:ascii="Times New Roman" w:cs="Times New Roman" w:eastAsia="Times New Roman" w:hAnsi="Times New Roman"/>
          <w:sz w:val="18"/>
          <w:szCs w:val="18"/>
          <w:color w:val="auto"/>
        </w:rPr>
        <w:t>1.1</w:t>
      </w:r>
      <w:r>
        <w:rPr>
          <w:sz w:val="20"/>
          <w:szCs w:val="20"/>
          <w:color w:val="auto"/>
        </w:rPr>
        <w:tab/>
      </w:r>
      <w:hyperlink r:id="rId8">
        <w:r>
          <w:rPr>
            <w:rFonts w:ascii="Times New Roman" w:cs="Times New Roman" w:eastAsia="Times New Roman" w:hAnsi="Times New Roman"/>
            <w:sz w:val="18"/>
            <w:szCs w:val="18"/>
            <w:u w:val="single" w:color="auto"/>
            <w:color w:val="0000EE"/>
          </w:rPr>
          <w:t xml:space="preserve">Sales Agreement, dated July 26, 2024, by and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by</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reference to Exhibit 1.1 of the Form 8-K filed July 26, 2024)</w:t>
      </w:r>
    </w:p>
    <w:p>
      <w:pPr>
        <w:spacing w:after="0"/>
        <w:tabs>
          <w:tab w:leader="none" w:pos="780" w:val="left"/>
        </w:tabs>
        <w:rPr>
          <w:sz w:val="20"/>
          <w:szCs w:val="20"/>
          <w:color w:val="auto"/>
        </w:rPr>
      </w:pPr>
      <w:r>
        <w:rPr>
          <w:rFonts w:ascii="Times New Roman" w:cs="Times New Roman" w:eastAsia="Times New Roman" w:hAnsi="Times New Roman"/>
          <w:sz w:val="18"/>
          <w:szCs w:val="18"/>
          <w:color w:val="auto"/>
        </w:rPr>
        <w:t>5.1</w:t>
      </w:r>
      <w:r>
        <w:rPr>
          <w:sz w:val="20"/>
          <w:szCs w:val="20"/>
          <w:color w:val="auto"/>
        </w:rPr>
        <w:tab/>
      </w:r>
      <w:r>
        <w:rPr>
          <w:rFonts w:ascii="Times New Roman" w:cs="Times New Roman" w:eastAsia="Times New Roman" w:hAnsi="Times New Roman"/>
          <w:sz w:val="18"/>
          <w:szCs w:val="18"/>
          <w:u w:val="single" w:color="auto"/>
          <w:color w:val="0000EE"/>
        </w:rPr>
        <w:t>Opinion of ArentFox Schiff LLP</w:t>
      </w:r>
    </w:p>
    <w:p>
      <w:pPr>
        <w:spacing w:after="0" w:line="9" w:lineRule="exact"/>
        <w:rPr>
          <w:sz w:val="20"/>
          <w:szCs w:val="20"/>
          <w:color w:val="auto"/>
        </w:rPr>
      </w:pPr>
    </w:p>
    <w:p>
      <w:pPr>
        <w:spacing w:after="0"/>
        <w:tabs>
          <w:tab w:leader="none" w:pos="780" w:val="left"/>
        </w:tabs>
        <w:rPr>
          <w:sz w:val="20"/>
          <w:szCs w:val="20"/>
          <w:color w:val="auto"/>
        </w:rPr>
      </w:pPr>
      <w:r>
        <w:rPr>
          <w:rFonts w:ascii="Times New Roman" w:cs="Times New Roman" w:eastAsia="Times New Roman" w:hAnsi="Times New Roman"/>
          <w:sz w:val="18"/>
          <w:szCs w:val="18"/>
          <w:color w:val="auto"/>
        </w:rPr>
        <w:t>23.1</w:t>
      </w:r>
      <w:r>
        <w:rPr>
          <w:sz w:val="20"/>
          <w:szCs w:val="20"/>
          <w:color w:val="auto"/>
        </w:rPr>
        <w:tab/>
      </w:r>
      <w:r>
        <w:rPr>
          <w:rFonts w:ascii="Times New Roman" w:cs="Times New Roman" w:eastAsia="Times New Roman" w:hAnsi="Times New Roman"/>
          <w:sz w:val="17"/>
          <w:szCs w:val="17"/>
          <w:color w:val="auto"/>
        </w:rPr>
        <w:t xml:space="preserve">Consent of ArentFox Schiff LLP (included in </w:t>
      </w:r>
      <w:r>
        <w:rPr>
          <w:rFonts w:ascii="Times New Roman" w:cs="Times New Roman" w:eastAsia="Times New Roman" w:hAnsi="Times New Roman"/>
          <w:sz w:val="17"/>
          <w:szCs w:val="17"/>
          <w:u w:val="single" w:color="auto"/>
          <w:color w:val="0000EE"/>
        </w:rPr>
        <w:t>Exhibit 5.1</w:t>
      </w:r>
      <w:r>
        <w:rPr>
          <w:rFonts w:ascii="Times New Roman" w:cs="Times New Roman" w:eastAsia="Times New Roman" w:hAnsi="Times New Roman"/>
          <w:sz w:val="17"/>
          <w:szCs w:val="17"/>
          <w:color w:val="auto"/>
        </w:rPr>
        <w:t>)</w:t>
      </w:r>
    </w:p>
    <w:p>
      <w:pPr>
        <w:spacing w:after="0" w:line="9" w:lineRule="exact"/>
        <w:rPr>
          <w:sz w:val="20"/>
          <w:szCs w:val="20"/>
          <w:color w:val="auto"/>
        </w:rPr>
      </w:pPr>
    </w:p>
    <w:p>
      <w:pPr>
        <w:spacing w:after="0"/>
        <w:tabs>
          <w:tab w:leader="none" w:pos="780" w:val="left"/>
        </w:tabs>
        <w:rPr>
          <w:sz w:val="20"/>
          <w:szCs w:val="20"/>
          <w:color w:val="auto"/>
        </w:rPr>
      </w:pPr>
      <w:r>
        <w:rPr>
          <w:rFonts w:ascii="Times New Roman" w:cs="Times New Roman" w:eastAsia="Times New Roman" w:hAnsi="Times New Roman"/>
          <w:sz w:val="18"/>
          <w:szCs w:val="18"/>
          <w:color w:val="auto"/>
        </w:rPr>
        <w:t>104</w:t>
      </w:r>
      <w:r>
        <w:rPr>
          <w:sz w:val="20"/>
          <w:szCs w:val="20"/>
          <w:color w:val="auto"/>
        </w:rPr>
        <w:tab/>
      </w:r>
      <w:r>
        <w:rPr>
          <w:rFonts w:ascii="Times New Roman" w:cs="Times New Roman" w:eastAsia="Times New Roman" w:hAnsi="Times New Roman"/>
          <w:sz w:val="18"/>
          <w:szCs w:val="18"/>
          <w:color w:val="auto"/>
        </w:rPr>
        <w:t>Cover Page Interactive Data File (formatted as Inline XBRL)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color w:val="auto"/>
        </w:rPr>
        <w:t>Signature</w:t>
      </w:r>
    </w:p>
    <w:p>
      <w:pPr>
        <w:spacing w:after="0" w:line="229" w:lineRule="exact"/>
        <w:rPr>
          <w:sz w:val="20"/>
          <w:szCs w:val="20"/>
          <w:color w:val="auto"/>
        </w:rPr>
      </w:pPr>
    </w:p>
    <w:p>
      <w:pPr>
        <w:ind w:firstLine="486"/>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8"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0" w:lineRule="exact"/>
        <w:rPr>
          <w:sz w:val="20"/>
          <w:szCs w:val="20"/>
          <w:color w:val="auto"/>
        </w:rPr>
      </w:pPr>
    </w:p>
    <w:p>
      <w:pPr>
        <w:spacing w:after="0" w:line="241"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By: /s/ Chris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3862705</wp:posOffset>
            </wp:positionH>
            <wp:positionV relativeFrom="paragraph">
              <wp:posOffset>-7620</wp:posOffset>
            </wp:positionV>
            <wp:extent cx="1421765"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extLst>
                    </a:blip>
                    <a:srcRect/>
                    <a:stretch>
                      <a:fillRect/>
                    </a:stretch>
                  </pic:blipFill>
                  <pic:spPr bwMode="auto">
                    <a:xfrm>
                      <a:off x="0" y="0"/>
                      <a:ext cx="1421765" cy="825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Chris Downs</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March 20, 2025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 w:name="page4"/>
    <w:bookmarkEnd w:id="3"/>
    <w:p>
      <w:pPr>
        <w:spacing w:after="0"/>
        <w:rPr>
          <w:sz w:val="20"/>
          <w:szCs w:val="20"/>
          <w:color w:val="auto"/>
        </w:rPr>
      </w:pPr>
      <w:r>
        <w:rPr>
          <w:rFonts w:ascii="Times New Roman" w:cs="Times New Roman" w:eastAsia="Times New Roman" w:hAnsi="Times New Roman"/>
          <w:sz w:val="22"/>
          <w:szCs w:val="22"/>
          <w:b w:val="1"/>
          <w:bCs w:val="1"/>
          <w:color w:val="auto"/>
        </w:rPr>
        <w:t>Exhibit 5.1</w:t>
      </w:r>
    </w:p>
    <w:p>
      <w:pPr>
        <w:spacing w:after="0" w:line="200" w:lineRule="exact"/>
        <w:rPr>
          <w:sz w:val="20"/>
          <w:szCs w:val="20"/>
          <w:color w:val="auto"/>
        </w:rPr>
      </w:pPr>
    </w:p>
    <w:p>
      <w:pPr>
        <w:spacing w:after="0" w:line="286" w:lineRule="exact"/>
        <w:rPr>
          <w:sz w:val="20"/>
          <w:szCs w:val="20"/>
          <w:color w:val="auto"/>
        </w:rPr>
      </w:pPr>
    </w:p>
    <w:p>
      <w:pPr>
        <w:ind w:left="8440"/>
        <w:spacing w:after="0"/>
        <w:rPr>
          <w:sz w:val="20"/>
          <w:szCs w:val="20"/>
          <w:color w:val="auto"/>
        </w:rPr>
      </w:pPr>
      <w:r>
        <w:rPr>
          <w:rFonts w:ascii="Times New Roman" w:cs="Times New Roman" w:eastAsia="Times New Roman" w:hAnsi="Times New Roman"/>
          <w:sz w:val="18"/>
          <w:szCs w:val="18"/>
          <w:b w:val="1"/>
          <w:bCs w:val="1"/>
          <w:color w:val="auto"/>
        </w:rPr>
        <w:t>ArentFox Schiff LLP</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1131570" cy="4800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extLst>
                    </a:blip>
                    <a:srcRect/>
                    <a:stretch>
                      <a:fillRect/>
                    </a:stretch>
                  </pic:blipFill>
                  <pic:spPr bwMode="auto">
                    <a:xfrm>
                      <a:off x="0" y="0"/>
                      <a:ext cx="1131570" cy="480060"/>
                    </a:xfrm>
                    <a:prstGeom prst="rect">
                      <a:avLst/>
                    </a:prstGeom>
                    <a:noFill/>
                  </pic:spPr>
                </pic:pic>
              </a:graphicData>
            </a:graphic>
          </wp:anchor>
        </w:drawing>
      </w:r>
    </w:p>
    <w:p>
      <w:pPr>
        <w:spacing w:after="0" w:line="11" w:lineRule="exact"/>
        <w:rPr>
          <w:sz w:val="20"/>
          <w:szCs w:val="20"/>
          <w:color w:val="auto"/>
        </w:rPr>
      </w:pPr>
    </w:p>
    <w:p>
      <w:pPr>
        <w:ind w:left="8440"/>
        <w:spacing w:after="0"/>
        <w:rPr>
          <w:sz w:val="20"/>
          <w:szCs w:val="20"/>
          <w:color w:val="auto"/>
        </w:rPr>
      </w:pPr>
      <w:r>
        <w:rPr>
          <w:rFonts w:ascii="Times New Roman" w:cs="Times New Roman" w:eastAsia="Times New Roman" w:hAnsi="Times New Roman"/>
          <w:sz w:val="18"/>
          <w:szCs w:val="18"/>
          <w:color w:val="auto"/>
        </w:rPr>
        <w:t>1717 K Street NW</w:t>
      </w:r>
    </w:p>
    <w:p>
      <w:pPr>
        <w:spacing w:after="0" w:line="9" w:lineRule="exact"/>
        <w:rPr>
          <w:sz w:val="20"/>
          <w:szCs w:val="20"/>
          <w:color w:val="auto"/>
        </w:rPr>
      </w:pPr>
    </w:p>
    <w:p>
      <w:pPr>
        <w:ind w:left="8440"/>
        <w:spacing w:after="0"/>
        <w:rPr>
          <w:sz w:val="20"/>
          <w:szCs w:val="20"/>
          <w:color w:val="auto"/>
        </w:rPr>
      </w:pPr>
      <w:r>
        <w:rPr>
          <w:rFonts w:ascii="Times New Roman" w:cs="Times New Roman" w:eastAsia="Times New Roman" w:hAnsi="Times New Roman"/>
          <w:sz w:val="18"/>
          <w:szCs w:val="18"/>
          <w:color w:val="auto"/>
        </w:rPr>
        <w:t>Washington, DC 20006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5354320</wp:posOffset>
            </wp:positionH>
            <wp:positionV relativeFrom="paragraph">
              <wp:posOffset>5715</wp:posOffset>
            </wp:positionV>
            <wp:extent cx="1783080"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extLst>
                    </a:blip>
                    <a:srcRect/>
                    <a:stretch>
                      <a:fillRect/>
                    </a:stretch>
                  </pic:blipFill>
                  <pic:spPr bwMode="auto">
                    <a:xfrm>
                      <a:off x="0" y="0"/>
                      <a:ext cx="1783080" cy="8255"/>
                    </a:xfrm>
                    <a:prstGeom prst="rect">
                      <a:avLst/>
                    </a:prstGeom>
                    <a:noFill/>
                  </pic:spPr>
                </pic:pic>
              </a:graphicData>
            </a:graphic>
          </wp:anchor>
        </w:drawing>
      </w:r>
    </w:p>
    <w:p>
      <w:pPr>
        <w:ind w:left="8440"/>
        <w:spacing w:after="0"/>
        <w:rPr>
          <w:sz w:val="20"/>
          <w:szCs w:val="20"/>
          <w:color w:val="auto"/>
        </w:rPr>
      </w:pPr>
      <w:r>
        <w:rPr>
          <w:rFonts w:ascii="Times New Roman" w:cs="Times New Roman" w:eastAsia="Times New Roman" w:hAnsi="Times New Roman"/>
          <w:sz w:val="18"/>
          <w:szCs w:val="18"/>
          <w:color w:val="auto"/>
        </w:rPr>
        <w:t xml:space="preserve">202.857.6000 </w:t>
      </w:r>
      <w:r>
        <w:rPr>
          <w:rFonts w:ascii="Times New Roman" w:cs="Times New Roman" w:eastAsia="Times New Roman" w:hAnsi="Times New Roman"/>
          <w:sz w:val="12"/>
          <w:szCs w:val="12"/>
          <w:b w:val="1"/>
          <w:bCs w:val="1"/>
          <w:color w:val="auto"/>
        </w:rPr>
        <w:t>main</w:t>
      </w:r>
    </w:p>
    <w:p>
      <w:pPr>
        <w:spacing w:after="0" w:line="23" w:lineRule="exact"/>
        <w:rPr>
          <w:sz w:val="20"/>
          <w:szCs w:val="20"/>
          <w:color w:val="auto"/>
        </w:rPr>
      </w:pPr>
    </w:p>
    <w:p>
      <w:pPr>
        <w:ind w:left="8440"/>
        <w:spacing w:after="0"/>
        <w:rPr>
          <w:sz w:val="20"/>
          <w:szCs w:val="20"/>
          <w:color w:val="auto"/>
        </w:rPr>
      </w:pPr>
      <w:r>
        <w:rPr>
          <w:rFonts w:ascii="Times New Roman" w:cs="Times New Roman" w:eastAsia="Times New Roman" w:hAnsi="Times New Roman"/>
          <w:sz w:val="18"/>
          <w:szCs w:val="18"/>
          <w:color w:val="auto"/>
        </w:rPr>
        <w:t xml:space="preserve">202.857.6395 </w:t>
      </w:r>
      <w:r>
        <w:rPr>
          <w:rFonts w:ascii="Times New Roman" w:cs="Times New Roman" w:eastAsia="Times New Roman" w:hAnsi="Times New Roman"/>
          <w:sz w:val="12"/>
          <w:szCs w:val="12"/>
          <w:b w:val="1"/>
          <w:bCs w:val="1"/>
          <w:color w:val="auto"/>
        </w:rPr>
        <w:t>fax</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5354320</wp:posOffset>
            </wp:positionH>
            <wp:positionV relativeFrom="paragraph">
              <wp:posOffset>5715</wp:posOffset>
            </wp:positionV>
            <wp:extent cx="1783080" cy="171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extLst>
                    </a:blip>
                    <a:srcRect/>
                    <a:stretch>
                      <a:fillRect/>
                    </a:stretch>
                  </pic:blipFill>
                  <pic:spPr bwMode="auto">
                    <a:xfrm>
                      <a:off x="0" y="0"/>
                      <a:ext cx="1783080" cy="17145"/>
                    </a:xfrm>
                    <a:prstGeom prst="rect">
                      <a:avLst/>
                    </a:prstGeom>
                    <a:noFill/>
                  </pic:spPr>
                </pic:pic>
              </a:graphicData>
            </a:graphic>
          </wp:anchor>
        </w:drawing>
      </w:r>
    </w:p>
    <w:p>
      <w:pPr>
        <w:ind w:left="8440"/>
        <w:spacing w:after="0"/>
        <w:rPr>
          <w:sz w:val="20"/>
          <w:szCs w:val="20"/>
          <w:color w:val="auto"/>
        </w:rPr>
      </w:pPr>
      <w:r>
        <w:rPr>
          <w:rFonts w:ascii="Times New Roman" w:cs="Times New Roman" w:eastAsia="Times New Roman" w:hAnsi="Times New Roman"/>
          <w:sz w:val="18"/>
          <w:szCs w:val="18"/>
          <w:color w:val="FF0000"/>
        </w:rPr>
        <w:t>afslaw.com</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March 20, 2025</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2100 West Loop South, Suite 900</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Houston, Texas 77027</w:t>
      </w:r>
    </w:p>
    <w:p>
      <w:pPr>
        <w:spacing w:after="0" w:line="207"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18"/>
          <w:szCs w:val="18"/>
          <w:color w:val="auto"/>
        </w:rPr>
        <w:t>Re:</w:t>
      </w:r>
      <w:r>
        <w:rPr>
          <w:sz w:val="20"/>
          <w:szCs w:val="20"/>
          <w:color w:val="auto"/>
        </w:rPr>
        <w:tab/>
      </w:r>
      <w:r>
        <w:rPr>
          <w:rFonts w:ascii="Times New Roman" w:cs="Times New Roman" w:eastAsia="Times New Roman" w:hAnsi="Times New Roman"/>
          <w:sz w:val="18"/>
          <w:szCs w:val="18"/>
          <w:color w:val="auto"/>
        </w:rPr>
        <w:t>Registration Statement on Form S-3</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Ladies and Gentlemen:</w:t>
      </w:r>
    </w:p>
    <w:p>
      <w:pPr>
        <w:spacing w:after="0" w:line="225"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We have acted as counsel to CNS Pharmaceuticals, Inc., a Nevada corporation (the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in connection with the Registration Statement on Form S-3, Registration No. 333-279285 (as amended, the “</w:t>
      </w:r>
      <w:r>
        <w:rPr>
          <w:rFonts w:ascii="Times New Roman" w:cs="Times New Roman" w:eastAsia="Times New Roman" w:hAnsi="Times New Roman"/>
          <w:sz w:val="18"/>
          <w:szCs w:val="18"/>
          <w:u w:val="single" w:color="auto"/>
          <w:color w:val="auto"/>
        </w:rPr>
        <w:t>Registration Statement</w:t>
      </w:r>
      <w:r>
        <w:rPr>
          <w:rFonts w:ascii="Times New Roman" w:cs="Times New Roman" w:eastAsia="Times New Roman" w:hAnsi="Times New Roman"/>
          <w:sz w:val="18"/>
          <w:szCs w:val="18"/>
          <w:color w:val="auto"/>
        </w:rPr>
        <w:t>”), filed by the Company with the Securities and Exchange Commission (the “</w:t>
      </w:r>
      <w:r>
        <w:rPr>
          <w:rFonts w:ascii="Times New Roman" w:cs="Times New Roman" w:eastAsia="Times New Roman" w:hAnsi="Times New Roman"/>
          <w:sz w:val="18"/>
          <w:szCs w:val="18"/>
          <w:u w:val="single" w:color="auto"/>
          <w:color w:val="auto"/>
        </w:rPr>
        <w:t>Commission</w:t>
      </w:r>
      <w:r>
        <w:rPr>
          <w:rFonts w:ascii="Times New Roman" w:cs="Times New Roman" w:eastAsia="Times New Roman" w:hAnsi="Times New Roman"/>
          <w:sz w:val="18"/>
          <w:szCs w:val="18"/>
          <w:color w:val="auto"/>
        </w:rPr>
        <w:t>”) under the Securities Act of 1933, as amended (the “</w:t>
      </w:r>
      <w:r>
        <w:rPr>
          <w:rFonts w:ascii="Times New Roman" w:cs="Times New Roman" w:eastAsia="Times New Roman" w:hAnsi="Times New Roman"/>
          <w:sz w:val="18"/>
          <w:szCs w:val="18"/>
          <w:u w:val="single" w:color="auto"/>
          <w:color w:val="auto"/>
        </w:rPr>
        <w:t>Securities Act</w:t>
      </w:r>
      <w:r>
        <w:rPr>
          <w:rFonts w:ascii="Times New Roman" w:cs="Times New Roman" w:eastAsia="Times New Roman" w:hAnsi="Times New Roman"/>
          <w:sz w:val="18"/>
          <w:szCs w:val="18"/>
          <w:color w:val="auto"/>
        </w:rPr>
        <w:t>”). The Registration Statement, which was declared effective on May 17, 2024, relates to the issuance and sale from time to time, pursuant to Rule 415 of the rules and regulations promulgated under the Securities Act, of, among other securities, shares of the Company’s common stock, par value $0.001 per share (the “</w:t>
      </w:r>
      <w:r>
        <w:rPr>
          <w:rFonts w:ascii="Times New Roman" w:cs="Times New Roman" w:eastAsia="Times New Roman" w:hAnsi="Times New Roman"/>
          <w:sz w:val="18"/>
          <w:szCs w:val="18"/>
          <w:u w:val="single" w:color="auto"/>
          <w:color w:val="auto"/>
        </w:rPr>
        <w:t>Common Stock</w:t>
      </w:r>
      <w:r>
        <w:rPr>
          <w:rFonts w:ascii="Times New Roman" w:cs="Times New Roman" w:eastAsia="Times New Roman" w:hAnsi="Times New Roman"/>
          <w:sz w:val="18"/>
          <w:szCs w:val="18"/>
          <w:color w:val="auto"/>
        </w:rPr>
        <w:t>”). We have also acted as counsel to the Company in connection with the issuance, offer and sale from time to time of up to an aggregate of $43.5 million of Common Stock (the “</w:t>
      </w:r>
      <w:r>
        <w:rPr>
          <w:rFonts w:ascii="Times New Roman" w:cs="Times New Roman" w:eastAsia="Times New Roman" w:hAnsi="Times New Roman"/>
          <w:sz w:val="18"/>
          <w:szCs w:val="18"/>
          <w:u w:val="single" w:color="auto"/>
          <w:color w:val="auto"/>
        </w:rPr>
        <w:t>Shares</w:t>
      </w:r>
      <w:r>
        <w:rPr>
          <w:rFonts w:ascii="Times New Roman" w:cs="Times New Roman" w:eastAsia="Times New Roman" w:hAnsi="Times New Roman"/>
          <w:sz w:val="18"/>
          <w:szCs w:val="18"/>
          <w:color w:val="auto"/>
        </w:rPr>
        <w:t>”), pursuant to the Sales Agreement, dated July 26, 2024, by and between the Company and A.G.P./Alliance Global Partners (the “</w:t>
      </w:r>
      <w:r>
        <w:rPr>
          <w:rFonts w:ascii="Times New Roman" w:cs="Times New Roman" w:eastAsia="Times New Roman" w:hAnsi="Times New Roman"/>
          <w:sz w:val="18"/>
          <w:szCs w:val="18"/>
          <w:u w:val="single" w:color="auto"/>
          <w:color w:val="auto"/>
        </w:rPr>
        <w:t>Sales Agreement</w:t>
      </w:r>
      <w:r>
        <w:rPr>
          <w:rFonts w:ascii="Times New Roman" w:cs="Times New Roman" w:eastAsia="Times New Roman" w:hAnsi="Times New Roman"/>
          <w:sz w:val="18"/>
          <w:szCs w:val="18"/>
          <w:color w:val="auto"/>
        </w:rPr>
        <w:t>”).</w:t>
      </w:r>
    </w:p>
    <w:p>
      <w:pPr>
        <w:spacing w:after="0" w:line="18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This opinion letter is being delivered in accordance with the requirements of Item 601(b)(5) of Regulations S-K under the Securities Act.</w:t>
      </w:r>
    </w:p>
    <w:p>
      <w:pPr>
        <w:spacing w:after="0" w:line="225"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In connection with our opinion, we have examined the Registration Statement, including the exhibits thereto, the Sales Agreement, and such other documents, corporate records and instruments, and have examined such laws and regulations, as we have deemed necessary for the purposes of this opinion. In making our examination, we have assumed the genuineness of all signatures, the authenticity of all documents submitted to us as originals, the conformity with the originals of all documents submitted to us as copies and the legal capacity of all natural persons. As to matters of fact material to our opinions in this letter, we have relied on certificates and statements from officers and other employees of the Company, public officials and other appropriate persons.</w:t>
      </w:r>
    </w:p>
    <w:p>
      <w:pPr>
        <w:spacing w:after="0" w:line="187"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For purposes of the opinion set forth below, we have assumed that the Shares are issued for a price per share equal to or greater than the minimum price authorized by the Company’s board of directors prior to the date hereof, and that in the future the Company does not issue shares of Common Stock, or reduce the total number of shares of Common Stock that the Company is authorized to issue under its certificate of incorporation, such that the number of authorized but unissued shares of Common Stock under the Company’s certificate of incorporation is less than the number of unissued Shares that may be issued for such minimum price.</w:t>
      </w:r>
    </w:p>
    <w:p>
      <w:pPr>
        <w:spacing w:after="0" w:line="183"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Based on the foregoing and subject to the qualifications set forth below, we are of the opinion that the Shares have been duly authorized and reserved for issuance and, when issued by the Company and delivered by the Company against payment therefor as contemplated by the Sales Agreement and a Placement Notice (as defined in the Sales Agreement), will be legally issued, fully paid and non-assessable.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sectPr>
      </w:pPr>
    </w:p>
    <w:bookmarkStart w:id="4" w:name="page5"/>
    <w:bookmarkEnd w:id="4"/>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The foregoing opinions are limited to Chapter 78 of the Nevada Revised Statutes and we express no opinion as to the laws of any other jurisdiction.</w:t>
      </w:r>
    </w:p>
    <w:p>
      <w:pPr>
        <w:spacing w:after="0" w:line="162"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opinions expressed in this opinion letter are as of the date of this opinion letter only and as to laws covered hereby only as they are in effect on that date, and we assume no obligation to update or supplement such opinion to reflect any facts or circumstances that may come to our attention after that date or any changes in law that may occur or become effective after that date. The opinions herein are limited to the matters expressly set forth in this opinion letter, and no opinion or representation is given or may be inferred beyond the opinions expressly set forth in this opinion letter.</w:t>
      </w:r>
    </w:p>
    <w:p>
      <w:pPr>
        <w:spacing w:after="0" w:line="180" w:lineRule="exact"/>
        <w:rPr>
          <w:sz w:val="20"/>
          <w:szCs w:val="20"/>
          <w:color w:val="auto"/>
        </w:rPr>
      </w:pPr>
    </w:p>
    <w:p>
      <w:pPr>
        <w:jc w:val="both"/>
        <w:ind w:firstLine="691"/>
        <w:spacing w:after="0" w:line="261" w:lineRule="auto"/>
        <w:rPr>
          <w:sz w:val="20"/>
          <w:szCs w:val="20"/>
          <w:color w:val="auto"/>
        </w:rPr>
      </w:pPr>
      <w:r>
        <w:rPr>
          <w:rFonts w:ascii="Times New Roman" w:cs="Times New Roman" w:eastAsia="Times New Roman" w:hAnsi="Times New Roman"/>
          <w:sz w:val="18"/>
          <w:szCs w:val="18"/>
          <w:color w:val="auto"/>
        </w:rPr>
        <w:t>We hereby consent to the filing of this opinion as Exhibit 5.1 to the Current Report on Form 8-K of the Company filed March 20, 2025, and to the reference to us under the caption “Legal Matters” in the prospectus supplement with respect to the Shares and under the caption “Legal Matters” in the prospectus contained in the Registration Statement. In giving this consent, we do not thereby admit that we are within the category of persons whose consent is required under Section 7 of the Securities Act or the rules and regulations of the Commission promulgated thereunder.</w:t>
      </w:r>
    </w:p>
    <w:p>
      <w:pPr>
        <w:spacing w:after="0" w:line="180" w:lineRule="exact"/>
        <w:rPr>
          <w:sz w:val="20"/>
          <w:szCs w:val="20"/>
          <w:color w:val="auto"/>
        </w:rPr>
      </w:pPr>
    </w:p>
    <w:p>
      <w:pPr>
        <w:ind w:left="5200"/>
        <w:spacing w:after="0"/>
        <w:rPr>
          <w:sz w:val="20"/>
          <w:szCs w:val="20"/>
          <w:color w:val="auto"/>
        </w:rPr>
      </w:pPr>
      <w:r>
        <w:rPr>
          <w:rFonts w:ascii="Times New Roman" w:cs="Times New Roman" w:eastAsia="Times New Roman" w:hAnsi="Times New Roman"/>
          <w:sz w:val="18"/>
          <w:szCs w:val="18"/>
          <w:color w:val="auto"/>
        </w:rPr>
        <w:t>Very truly yours,</w:t>
      </w:r>
    </w:p>
    <w:p>
      <w:pPr>
        <w:spacing w:after="0" w:line="225" w:lineRule="exact"/>
        <w:rPr>
          <w:sz w:val="20"/>
          <w:szCs w:val="20"/>
          <w:color w:val="auto"/>
        </w:rPr>
      </w:pPr>
    </w:p>
    <w:p>
      <w:pPr>
        <w:ind w:left="5200"/>
        <w:spacing w:after="0"/>
        <w:rPr>
          <w:sz w:val="20"/>
          <w:szCs w:val="20"/>
          <w:color w:val="auto"/>
        </w:rPr>
      </w:pPr>
      <w:r>
        <w:rPr>
          <w:rFonts w:ascii="Times New Roman" w:cs="Times New Roman" w:eastAsia="Times New Roman" w:hAnsi="Times New Roman"/>
          <w:sz w:val="18"/>
          <w:szCs w:val="18"/>
          <w:color w:val="auto"/>
        </w:rPr>
        <w:t>/s/ ArentFox Schiff, LLP</w:t>
      </w:r>
    </w:p>
    <w:p>
      <w:pPr>
        <w:spacing w:after="0" w:line="225" w:lineRule="exact"/>
        <w:rPr>
          <w:sz w:val="20"/>
          <w:szCs w:val="20"/>
          <w:color w:val="auto"/>
        </w:rPr>
      </w:pPr>
    </w:p>
    <w:p>
      <w:pPr>
        <w:ind w:left="5200"/>
        <w:spacing w:after="0"/>
        <w:rPr>
          <w:sz w:val="20"/>
          <w:szCs w:val="20"/>
          <w:color w:val="auto"/>
        </w:rPr>
      </w:pPr>
      <w:r>
        <w:rPr>
          <w:rFonts w:ascii="Times New Roman" w:cs="Times New Roman" w:eastAsia="Times New Roman" w:hAnsi="Times New Roman"/>
          <w:sz w:val="18"/>
          <w:szCs w:val="18"/>
          <w:color w:val="auto"/>
        </w:rPr>
        <w:t>ArentFox Schiff LLP</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sectPr>
      <w:pgSz w:w="11900" w:h="16838" w:orient="portrait"/>
      <w:cols w:equalWidth="0" w:num="1">
        <w:col w:w="11240"/>
      </w:cols>
      <w:pgMar w:left="320" w:top="796"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8" Type="http://schemas.openxmlformats.org/officeDocument/2006/relationships/hyperlink" Target="https://www.sec.gov/Archives/edgar/data/1729427/000168316824005070/cns_ex0101.ht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2025-03-20T16:28:21Z</dcterms:created>
  <dcterms:modified xsi:type="dcterms:W3CDTF">2025-03-20T16:28:21Z</dcterms:modified>
</cp:coreProperties>
</file>