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Times New Roman" w:cs="Times New Roman" w:eastAsia="Times New Roman" w:hAnsi="Times New Roman"/>
          <w:sz w:val="18"/>
          <w:szCs w:val="18"/>
          <w:b w:val="1"/>
          <w:bCs w:val="1"/>
          <w:color w:val="auto"/>
        </w:rPr>
        <w:t>UNITED STATES</w:t>
      </w:r>
    </w:p>
    <w:p>
      <w:pPr>
        <w:spacing w:after="0" w:line="31"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SECURITIES AND EXCHANGE COMMISSION</w:t>
      </w:r>
    </w:p>
    <w:p>
      <w:pPr>
        <w:spacing w:after="0" w:line="9"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Washington, D.C. 20549</w:t>
      </w:r>
    </w:p>
    <w:p>
      <w:pPr>
        <w:spacing w:after="0" w:line="9" w:lineRule="exact"/>
        <w:rPr>
          <w:sz w:val="24"/>
          <w:szCs w:val="24"/>
          <w:color w:val="auto"/>
        </w:rPr>
      </w:pPr>
    </w:p>
    <w:p>
      <w:pPr>
        <w:ind w:left="4400"/>
        <w:spacing w:after="0"/>
        <w:rPr>
          <w:sz w:val="20"/>
          <w:szCs w:val="20"/>
          <w:color w:val="auto"/>
        </w:rPr>
      </w:pPr>
      <w:r>
        <w:rPr>
          <w:rFonts w:ascii="Times New Roman" w:cs="Times New Roman" w:eastAsia="Times New Roman" w:hAnsi="Times New Roman"/>
          <w:sz w:val="18"/>
          <w:szCs w:val="18"/>
          <w:color w:val="auto"/>
        </w:rPr>
        <w:t>___________________________</w:t>
      </w:r>
    </w:p>
    <w:p>
      <w:pPr>
        <w:spacing w:after="0" w:line="194"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2"/>
          <w:szCs w:val="22"/>
          <w:b w:val="1"/>
          <w:bCs w:val="1"/>
          <w:color w:val="auto"/>
        </w:rPr>
        <w:t>FORM 8-K</w:t>
      </w:r>
    </w:p>
    <w:p>
      <w:pPr>
        <w:spacing w:after="0" w:line="215"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CURRENT REPORT</w:t>
      </w:r>
    </w:p>
    <w:p>
      <w:pPr>
        <w:spacing w:after="0" w:line="31"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Pursuant to Section 13 or 15(d) of the</w:t>
      </w:r>
    </w:p>
    <w:p>
      <w:pPr>
        <w:spacing w:after="0" w:line="9"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Securities Exchange Act of 1934</w:t>
      </w:r>
    </w:p>
    <w:p>
      <w:pPr>
        <w:spacing w:after="0" w:line="203"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7"/>
          <w:szCs w:val="17"/>
          <w:b w:val="1"/>
          <w:bCs w:val="1"/>
          <w:color w:val="auto"/>
        </w:rPr>
        <w:t>Date of Report (Date of earliest event reported): January 3, 2025</w:t>
      </w:r>
    </w:p>
    <w:p>
      <w:pPr>
        <w:spacing w:after="0" w:line="43" w:lineRule="exact"/>
        <w:rPr>
          <w:sz w:val="24"/>
          <w:szCs w:val="24"/>
          <w:color w:val="auto"/>
        </w:rPr>
      </w:pPr>
    </w:p>
    <w:p>
      <w:pPr>
        <w:ind w:left="4400"/>
        <w:spacing w:after="0"/>
        <w:rPr>
          <w:sz w:val="20"/>
          <w:szCs w:val="20"/>
          <w:color w:val="auto"/>
        </w:rPr>
      </w:pPr>
      <w:r>
        <w:rPr>
          <w:rFonts w:ascii="Times New Roman" w:cs="Times New Roman" w:eastAsia="Times New Roman" w:hAnsi="Times New Roman"/>
          <w:sz w:val="18"/>
          <w:szCs w:val="18"/>
          <w:color w:val="auto"/>
        </w:rPr>
        <w:t>___________________________</w:t>
      </w:r>
    </w:p>
    <w:p>
      <w:pPr>
        <w:spacing w:after="0" w:line="194"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2"/>
          <w:szCs w:val="22"/>
          <w:b w:val="1"/>
          <w:bCs w:val="1"/>
          <w:color w:val="auto"/>
        </w:rPr>
        <w:t>CNS Pharmaceuticals, Inc.</w:t>
      </w:r>
    </w:p>
    <w:p>
      <w:pPr>
        <w:spacing w:after="0" w:line="23"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color w:val="auto"/>
        </w:rPr>
        <w:t>(Exact name of registrant as specified in its charter)</w:t>
      </w:r>
    </w:p>
    <w:p>
      <w:pPr>
        <w:spacing w:after="0" w:line="7" w:lineRule="exact"/>
        <w:rPr>
          <w:sz w:val="24"/>
          <w:szCs w:val="24"/>
          <w:color w:val="auto"/>
        </w:rPr>
      </w:pPr>
    </w:p>
    <w:p>
      <w:pPr>
        <w:ind w:left="4400"/>
        <w:spacing w:after="0"/>
        <w:rPr>
          <w:sz w:val="20"/>
          <w:szCs w:val="20"/>
          <w:color w:val="auto"/>
        </w:rPr>
      </w:pPr>
      <w:r>
        <w:rPr>
          <w:rFonts w:ascii="Times New Roman" w:cs="Times New Roman" w:eastAsia="Times New Roman" w:hAnsi="Times New Roman"/>
          <w:sz w:val="18"/>
          <w:szCs w:val="18"/>
          <w:color w:val="auto"/>
        </w:rPr>
        <w:t>___________________________</w:t>
      </w:r>
    </w:p>
    <w:p>
      <w:pPr>
        <w:sectPr>
          <w:pgSz w:w="11900" w:h="16838" w:orient="portrait"/>
          <w:cols w:equalWidth="0" w:num="1">
            <w:col w:w="11240"/>
          </w:cols>
          <w:pgMar w:left="320" w:top="441" w:right="339" w:bottom="1440" w:gutter="0" w:footer="0" w:header="0"/>
        </w:sectPr>
      </w:pPr>
    </w:p>
    <w:p>
      <w:pPr>
        <w:spacing w:after="0" w:line="203" w:lineRule="exact"/>
        <w:rPr>
          <w:sz w:val="24"/>
          <w:szCs w:val="24"/>
          <w:color w:val="auto"/>
        </w:rPr>
      </w:pPr>
    </w:p>
    <w:p>
      <w:pPr>
        <w:jc w:val="center"/>
        <w:ind w:right="80"/>
        <w:spacing w:after="0"/>
        <w:rPr>
          <w:sz w:val="20"/>
          <w:szCs w:val="20"/>
          <w:color w:val="auto"/>
        </w:rPr>
      </w:pPr>
      <w:r>
        <w:rPr>
          <w:rFonts w:ascii="Times New Roman" w:cs="Times New Roman" w:eastAsia="Times New Roman" w:hAnsi="Times New Roman"/>
          <w:sz w:val="18"/>
          <w:szCs w:val="18"/>
          <w:b w:val="1"/>
          <w:bCs w:val="1"/>
          <w:color w:val="auto"/>
        </w:rPr>
        <w:t>Nevada</w:t>
      </w:r>
    </w:p>
    <w:p>
      <w:pPr>
        <w:spacing w:after="0" w:line="31" w:lineRule="exact"/>
        <w:rPr>
          <w:sz w:val="24"/>
          <w:szCs w:val="24"/>
          <w:color w:val="auto"/>
        </w:rPr>
      </w:pPr>
    </w:p>
    <w:p>
      <w:pPr>
        <w:jc w:val="center"/>
        <w:ind w:right="80"/>
        <w:spacing w:after="0"/>
        <w:rPr>
          <w:sz w:val="20"/>
          <w:szCs w:val="20"/>
          <w:color w:val="auto"/>
        </w:rPr>
      </w:pPr>
      <w:r>
        <w:rPr>
          <w:rFonts w:ascii="Times New Roman" w:cs="Times New Roman" w:eastAsia="Times New Roman" w:hAnsi="Times New Roman"/>
          <w:sz w:val="17"/>
          <w:szCs w:val="17"/>
          <w:color w:val="auto"/>
        </w:rPr>
        <w:t>(State or other jurisdiction of</w:t>
      </w:r>
    </w:p>
    <w:p>
      <w:pPr>
        <w:spacing w:after="0" w:line="20" w:lineRule="exact"/>
        <w:rPr>
          <w:sz w:val="24"/>
          <w:szCs w:val="24"/>
          <w:color w:val="auto"/>
        </w:rPr>
      </w:pPr>
      <w:r>
        <w:rPr>
          <w:sz w:val="24"/>
          <w:szCs w:val="24"/>
          <w:color w:val="auto"/>
        </w:rPr>
        <w:br w:type="column"/>
      </w:r>
    </w:p>
    <w:p>
      <w:pPr>
        <w:spacing w:after="0" w:line="183" w:lineRule="exact"/>
        <w:rPr>
          <w:sz w:val="24"/>
          <w:szCs w:val="24"/>
          <w:color w:val="auto"/>
        </w:rPr>
      </w:pPr>
    </w:p>
    <w:p>
      <w:pPr>
        <w:jc w:val="center"/>
        <w:ind w:right="680"/>
        <w:spacing w:after="0"/>
        <w:rPr>
          <w:sz w:val="20"/>
          <w:szCs w:val="20"/>
          <w:color w:val="auto"/>
        </w:rPr>
      </w:pPr>
      <w:r>
        <w:rPr>
          <w:rFonts w:ascii="Times New Roman" w:cs="Times New Roman" w:eastAsia="Times New Roman" w:hAnsi="Times New Roman"/>
          <w:sz w:val="18"/>
          <w:szCs w:val="18"/>
          <w:b w:val="1"/>
          <w:bCs w:val="1"/>
          <w:color w:val="auto"/>
        </w:rPr>
        <w:t>001-39126</w:t>
      </w:r>
    </w:p>
    <w:p>
      <w:pPr>
        <w:spacing w:after="0" w:line="31" w:lineRule="exact"/>
        <w:rPr>
          <w:sz w:val="24"/>
          <w:szCs w:val="24"/>
          <w:color w:val="auto"/>
        </w:rPr>
      </w:pPr>
    </w:p>
    <w:p>
      <w:pPr>
        <w:jc w:val="center"/>
        <w:ind w:right="680"/>
        <w:spacing w:after="0"/>
        <w:rPr>
          <w:sz w:val="20"/>
          <w:szCs w:val="20"/>
          <w:color w:val="auto"/>
        </w:rPr>
      </w:pPr>
      <w:r>
        <w:rPr>
          <w:rFonts w:ascii="Times New Roman" w:cs="Times New Roman" w:eastAsia="Times New Roman" w:hAnsi="Times New Roman"/>
          <w:sz w:val="17"/>
          <w:szCs w:val="17"/>
          <w:color w:val="auto"/>
        </w:rPr>
        <w:t>(Commission File Number)</w:t>
      </w:r>
    </w:p>
    <w:p>
      <w:pPr>
        <w:spacing w:after="0" w:line="20" w:lineRule="exact"/>
        <w:rPr>
          <w:sz w:val="24"/>
          <w:szCs w:val="24"/>
          <w:color w:val="auto"/>
        </w:rPr>
      </w:pPr>
      <w:r>
        <w:rPr>
          <w:sz w:val="24"/>
          <w:szCs w:val="24"/>
          <w:color w:val="auto"/>
        </w:rPr>
        <w:br w:type="column"/>
      </w:r>
    </w:p>
    <w:p>
      <w:pPr>
        <w:spacing w:after="0" w:line="183" w:lineRule="exact"/>
        <w:rPr>
          <w:sz w:val="24"/>
          <w:szCs w:val="24"/>
          <w:color w:val="auto"/>
        </w:rPr>
      </w:pPr>
    </w:p>
    <w:p>
      <w:pPr>
        <w:jc w:val="center"/>
        <w:ind w:right="580"/>
        <w:spacing w:after="0"/>
        <w:rPr>
          <w:sz w:val="20"/>
          <w:szCs w:val="20"/>
          <w:color w:val="auto"/>
        </w:rPr>
      </w:pPr>
      <w:r>
        <w:rPr>
          <w:rFonts w:ascii="Times New Roman" w:cs="Times New Roman" w:eastAsia="Times New Roman" w:hAnsi="Times New Roman"/>
          <w:sz w:val="18"/>
          <w:szCs w:val="18"/>
          <w:b w:val="1"/>
          <w:bCs w:val="1"/>
          <w:color w:val="auto"/>
        </w:rPr>
        <w:t>82-2318545</w:t>
      </w:r>
    </w:p>
    <w:p>
      <w:pPr>
        <w:spacing w:after="0" w:line="31" w:lineRule="exact"/>
        <w:rPr>
          <w:sz w:val="24"/>
          <w:szCs w:val="24"/>
          <w:color w:val="auto"/>
        </w:rPr>
      </w:pPr>
    </w:p>
    <w:p>
      <w:pPr>
        <w:jc w:val="center"/>
        <w:ind w:right="600"/>
        <w:spacing w:after="0"/>
        <w:rPr>
          <w:sz w:val="20"/>
          <w:szCs w:val="20"/>
          <w:color w:val="auto"/>
        </w:rPr>
      </w:pPr>
      <w:r>
        <w:rPr>
          <w:rFonts w:ascii="Times New Roman" w:cs="Times New Roman" w:eastAsia="Times New Roman" w:hAnsi="Times New Roman"/>
          <w:sz w:val="18"/>
          <w:szCs w:val="18"/>
          <w:color w:val="auto"/>
        </w:rPr>
        <w:t>(I.R.S. Employer Identification No.)</w:t>
      </w:r>
    </w:p>
    <w:p>
      <w:pPr>
        <w:spacing w:after="0" w:line="9" w:lineRule="exact"/>
        <w:rPr>
          <w:sz w:val="24"/>
          <w:szCs w:val="24"/>
          <w:color w:val="auto"/>
        </w:rPr>
      </w:pPr>
    </w:p>
    <w:p>
      <w:pPr>
        <w:sectPr>
          <w:pgSz w:w="11900" w:h="16838" w:orient="portrait"/>
          <w:cols w:equalWidth="0" w:num="3">
            <w:col w:w="3920" w:space="720"/>
            <w:col w:w="2660" w:space="720"/>
            <w:col w:w="3220"/>
          </w:cols>
          <w:pgMar w:left="320" w:top="441" w:right="339" w:bottom="1440" w:gutter="0" w:footer="0" w:header="0"/>
          <w:type w:val="continuous"/>
        </w:sectPr>
      </w:pPr>
    </w:p>
    <w:p>
      <w:pPr>
        <w:ind w:left="840"/>
        <w:spacing w:after="0"/>
        <w:rPr>
          <w:sz w:val="20"/>
          <w:szCs w:val="20"/>
          <w:color w:val="auto"/>
        </w:rPr>
      </w:pPr>
      <w:r>
        <w:rPr>
          <w:rFonts w:ascii="Times New Roman" w:cs="Times New Roman" w:eastAsia="Times New Roman" w:hAnsi="Times New Roman"/>
          <w:sz w:val="18"/>
          <w:szCs w:val="18"/>
          <w:color w:val="auto"/>
        </w:rPr>
        <w:t>incorporation or organization)</w:t>
      </w:r>
    </w:p>
    <w:p>
      <w:pPr>
        <w:spacing w:after="0" w:line="20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2100 West Loop South, Suite 900</w:t>
      </w:r>
    </w:p>
    <w:p>
      <w:pPr>
        <w:spacing w:after="0" w:line="3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Houston, Texas 77027</w:t>
      </w:r>
    </w:p>
    <w:p>
      <w:pPr>
        <w:spacing w:after="0" w:line="9"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(Address of principal executive offices) (Zip Code)</w:t>
      </w:r>
    </w:p>
    <w:p>
      <w:pPr>
        <w:sectPr>
          <w:pgSz w:w="11900" w:h="16838" w:orient="portrait"/>
          <w:cols w:equalWidth="0" w:num="1">
            <w:col w:w="11240"/>
          </w:cols>
          <w:pgMar w:left="320" w:top="441" w:right="339" w:bottom="1440" w:gutter="0" w:footer="0" w:header="0"/>
          <w:type w:val="continuous"/>
        </w:sectPr>
      </w:pPr>
    </w:p>
    <w:p>
      <w:pPr>
        <w:spacing w:after="0" w:line="203"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Registrant’s telephone number, including area code: (800) 946-9185</w:t>
      </w:r>
    </w:p>
    <w:p>
      <w:pPr>
        <w:spacing w:after="0" w:line="225"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Not Applicable</w:t>
      </w:r>
    </w:p>
    <w:p>
      <w:pPr>
        <w:spacing w:after="0" w:line="31"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18"/>
          <w:szCs w:val="18"/>
          <w:color w:val="auto"/>
        </w:rPr>
        <w:t>(Former Name or Former Address, if Changed Since Last Report)</w:t>
      </w:r>
    </w:p>
    <w:p>
      <w:pPr>
        <w:spacing w:after="0" w:line="9" w:lineRule="exact"/>
        <w:rPr>
          <w:sz w:val="24"/>
          <w:szCs w:val="24"/>
          <w:color w:val="auto"/>
        </w:rPr>
      </w:pPr>
    </w:p>
    <w:p>
      <w:pPr>
        <w:ind w:left="4400"/>
        <w:spacing w:after="0"/>
        <w:rPr>
          <w:sz w:val="20"/>
          <w:szCs w:val="20"/>
          <w:color w:val="auto"/>
        </w:rPr>
      </w:pPr>
      <w:r>
        <w:rPr>
          <w:rFonts w:ascii="Times New Roman" w:cs="Times New Roman" w:eastAsia="Times New Roman" w:hAnsi="Times New Roman"/>
          <w:sz w:val="18"/>
          <w:szCs w:val="18"/>
          <w:color w:val="auto"/>
        </w:rPr>
        <w:t>___________________________</w:t>
      </w:r>
    </w:p>
    <w:p>
      <w:pPr>
        <w:spacing w:after="0" w:line="207" w:lineRule="exact"/>
        <w:rPr>
          <w:sz w:val="24"/>
          <w:szCs w:val="24"/>
          <w:color w:val="auto"/>
        </w:rPr>
      </w:pPr>
    </w:p>
    <w:p>
      <w:pPr>
        <w:ind w:firstLine="324"/>
        <w:spacing w:after="0" w:line="282" w:lineRule="auto"/>
        <w:rPr>
          <w:sz w:val="20"/>
          <w:szCs w:val="20"/>
          <w:color w:val="auto"/>
        </w:rPr>
      </w:pPr>
      <w:r>
        <w:rPr>
          <w:rFonts w:ascii="Times New Roman" w:cs="Times New Roman" w:eastAsia="Times New Roman" w:hAnsi="Times New Roman"/>
          <w:sz w:val="18"/>
          <w:szCs w:val="18"/>
          <w:color w:val="auto"/>
        </w:rPr>
        <w:t>Check the appropriate box below if the Form 8-K filing is intended to simultaneously satisfy the filing obligation of the registrant under any of the following provisions (</w:t>
      </w:r>
      <w:r>
        <w:rPr>
          <w:rFonts w:ascii="Times New Roman" w:cs="Times New Roman" w:eastAsia="Times New Roman" w:hAnsi="Times New Roman"/>
          <w:sz w:val="18"/>
          <w:szCs w:val="18"/>
          <w:i w:val="1"/>
          <w:iCs w:val="1"/>
          <w:color w:val="auto"/>
        </w:rPr>
        <w:t>see</w:t>
      </w:r>
      <w:r>
        <w:rPr>
          <w:rFonts w:ascii="Times New Roman" w:cs="Times New Roman" w:eastAsia="Times New Roman" w:hAnsi="Times New Roman"/>
          <w:sz w:val="18"/>
          <w:szCs w:val="18"/>
          <w:color w:val="auto"/>
        </w:rPr>
        <w:t xml:space="preserve"> General Instruction A.2. below):</w:t>
      </w:r>
    </w:p>
    <w:p>
      <w:pPr>
        <w:spacing w:after="0" w:line="162" w:lineRule="exact"/>
        <w:rPr>
          <w:sz w:val="24"/>
          <w:szCs w:val="24"/>
          <w:color w:val="auto"/>
        </w:rPr>
      </w:pPr>
    </w:p>
    <w:p>
      <w:pPr>
        <w:ind w:left="840" w:hanging="378"/>
        <w:spacing w:after="0"/>
        <w:tabs>
          <w:tab w:leader="none" w:pos="84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Written communications pursuant to Rule 425 under the Securities Act (17 CFR 230.425)</w:t>
      </w:r>
    </w:p>
    <w:p>
      <w:pPr>
        <w:spacing w:after="0" w:line="225" w:lineRule="exact"/>
        <w:rPr>
          <w:rFonts w:ascii="MS PGothic" w:cs="MS PGothic" w:eastAsia="MS PGothic" w:hAnsi="MS PGothic"/>
          <w:sz w:val="18"/>
          <w:szCs w:val="18"/>
          <w:color w:val="auto"/>
        </w:rPr>
      </w:pPr>
    </w:p>
    <w:p>
      <w:pPr>
        <w:ind w:left="840" w:hanging="378"/>
        <w:spacing w:after="0"/>
        <w:tabs>
          <w:tab w:leader="none" w:pos="84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Soliciting material pursuant to Rule 14a-12 under the Exchange Act (17 CFR 240.14a-12)</w:t>
      </w:r>
    </w:p>
    <w:p>
      <w:pPr>
        <w:spacing w:after="0" w:line="225" w:lineRule="exact"/>
        <w:rPr>
          <w:rFonts w:ascii="MS PGothic" w:cs="MS PGothic" w:eastAsia="MS PGothic" w:hAnsi="MS PGothic"/>
          <w:sz w:val="18"/>
          <w:szCs w:val="18"/>
          <w:color w:val="auto"/>
        </w:rPr>
      </w:pPr>
    </w:p>
    <w:p>
      <w:pPr>
        <w:ind w:left="840" w:hanging="378"/>
        <w:spacing w:after="0"/>
        <w:tabs>
          <w:tab w:leader="none" w:pos="84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Pre-commencement communications pursuant to Rule 14d-2(b) under the Exchange Act (17 CFR 240.14d-2(b))</w:t>
      </w:r>
    </w:p>
    <w:p>
      <w:pPr>
        <w:spacing w:after="0" w:line="225" w:lineRule="exact"/>
        <w:rPr>
          <w:rFonts w:ascii="MS PGothic" w:cs="MS PGothic" w:eastAsia="MS PGothic" w:hAnsi="MS PGothic"/>
          <w:sz w:val="18"/>
          <w:szCs w:val="18"/>
          <w:color w:val="auto"/>
        </w:rPr>
      </w:pPr>
    </w:p>
    <w:p>
      <w:pPr>
        <w:ind w:left="840" w:hanging="378"/>
        <w:spacing w:after="0"/>
        <w:tabs>
          <w:tab w:leader="none" w:pos="840" w:val="left"/>
        </w:tabs>
        <w:numPr>
          <w:ilvl w:val="0"/>
          <w:numId w:val="1"/>
        </w:numPr>
        <w:rPr>
          <w:rFonts w:ascii="MS PGothic" w:cs="MS PGothic" w:eastAsia="MS PGothic" w:hAnsi="MS PGothic"/>
          <w:sz w:val="18"/>
          <w:szCs w:val="18"/>
          <w:color w:val="auto"/>
        </w:rPr>
      </w:pPr>
      <w:r>
        <w:rPr>
          <w:rFonts w:ascii="Times New Roman" w:cs="Times New Roman" w:eastAsia="Times New Roman" w:hAnsi="Times New Roman"/>
          <w:sz w:val="18"/>
          <w:szCs w:val="18"/>
          <w:color w:val="auto"/>
        </w:rPr>
        <w:t>Pre-commencement communications pursuant to Rule 13e-4(c) under the Exchange Act (17 CFR 240.13e-4(c))</w:t>
      </w:r>
    </w:p>
    <w:p>
      <w:pPr>
        <w:spacing w:after="0" w:line="225" w:lineRule="exact"/>
        <w:rPr>
          <w:sz w:val="24"/>
          <w:szCs w:val="24"/>
          <w:color w:val="auto"/>
        </w:rPr>
      </w:pPr>
    </w:p>
    <w:p>
      <w:pPr>
        <w:ind w:right="20"/>
        <w:spacing w:after="0" w:line="282" w:lineRule="auto"/>
        <w:rPr>
          <w:sz w:val="20"/>
          <w:szCs w:val="20"/>
          <w:color w:val="auto"/>
        </w:rPr>
      </w:pPr>
      <w:r>
        <w:rPr>
          <w:rFonts w:ascii="Times New Roman" w:cs="Times New Roman" w:eastAsia="Times New Roman" w:hAnsi="Times New Roman"/>
          <w:sz w:val="18"/>
          <w:szCs w:val="18"/>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21" w:lineRule="exact"/>
        <w:rPr>
          <w:sz w:val="24"/>
          <w:szCs w:val="24"/>
          <w:color w:val="auto"/>
        </w:rPr>
      </w:pPr>
    </w:p>
    <w:p>
      <w:pPr>
        <w:ind w:left="8940"/>
        <w:spacing w:after="0" w:line="207" w:lineRule="exact"/>
        <w:rPr>
          <w:sz w:val="20"/>
          <w:szCs w:val="20"/>
          <w:color w:val="auto"/>
        </w:rPr>
      </w:pPr>
      <w:r>
        <w:rPr>
          <w:rFonts w:ascii="Times New Roman" w:cs="Times New Roman" w:eastAsia="Times New Roman" w:hAnsi="Times New Roman"/>
          <w:sz w:val="18"/>
          <w:szCs w:val="18"/>
          <w:color w:val="auto"/>
        </w:rPr>
        <w:t xml:space="preserve">Emerging growth company </w:t>
      </w:r>
      <w:r>
        <w:rPr>
          <w:rFonts w:ascii="MS PGothic" w:cs="MS PGothic" w:eastAsia="MS PGothic" w:hAnsi="MS PGothic"/>
          <w:sz w:val="18"/>
          <w:szCs w:val="18"/>
          <w:color w:val="auto"/>
        </w:rPr>
        <w:t>☒</w:t>
      </w:r>
    </w:p>
    <w:p>
      <w:pPr>
        <w:spacing w:after="0" w:line="266" w:lineRule="exact"/>
        <w:rPr>
          <w:sz w:val="24"/>
          <w:szCs w:val="24"/>
          <w:color w:val="auto"/>
        </w:rPr>
      </w:pPr>
    </w:p>
    <w:p>
      <w:pPr>
        <w:spacing w:after="0" w:line="239" w:lineRule="exact"/>
        <w:rPr>
          <w:sz w:val="20"/>
          <w:szCs w:val="20"/>
          <w:color w:val="auto"/>
        </w:rPr>
      </w:pPr>
      <w:r>
        <w:rPr>
          <w:rFonts w:ascii="Times New Roman" w:cs="Times New Roman" w:eastAsia="Times New Roman" w:hAnsi="Times New Roman"/>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170" w:lineRule="exact"/>
        <w:rPr>
          <w:sz w:val="24"/>
          <w:szCs w:val="24"/>
          <w:color w:val="auto"/>
        </w:rPr>
      </w:pPr>
    </w:p>
    <w:p>
      <w:pPr>
        <w:spacing w:after="0"/>
        <w:rPr>
          <w:sz w:val="20"/>
          <w:szCs w:val="20"/>
          <w:color w:val="auto"/>
        </w:rPr>
      </w:pPr>
      <w:r>
        <w:rPr>
          <w:rFonts w:ascii="Times New Roman" w:cs="Times New Roman" w:eastAsia="Times New Roman" w:hAnsi="Times New Roman"/>
          <w:sz w:val="18"/>
          <w:szCs w:val="18"/>
          <w:color w:val="auto"/>
        </w:rPr>
        <w:t>Securities registered pursuant to Section 12(b) of the Act:</w:t>
      </w:r>
    </w:p>
    <w:p>
      <w:pPr>
        <w:spacing w:after="0" w:line="223" w:lineRule="exact"/>
        <w:rPr>
          <w:sz w:val="24"/>
          <w:szCs w:val="24"/>
          <w:color w:val="auto"/>
        </w:rPr>
      </w:pPr>
    </w:p>
    <w:tbl>
      <w:tblPr>
        <w:tblLayout w:type="fixed"/>
        <w:tblInd w:w="10" w:type="dxa"/>
        <w:tblCellMar>
          <w:top w:w="0" w:type="dxa"/>
          <w:left w:w="0" w:type="dxa"/>
          <w:bottom w:w="0" w:type="dxa"/>
          <w:right w:w="0" w:type="dxa"/>
        </w:tblCellMar>
      </w:tblPr>
      <w:tr>
        <w:trPr>
          <w:trHeight w:val="229"/>
        </w:trPr>
        <w:tc>
          <w:tcPr>
            <w:tcW w:w="4520" w:type="dxa"/>
            <w:vAlign w:val="bottom"/>
            <w:tcBorders>
              <w:top w:val="single" w:sz="8" w:color="auto"/>
              <w:left w:val="single" w:sz="8" w:color="auto"/>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18"/>
                <w:szCs w:val="18"/>
                <w:color w:val="auto"/>
              </w:rPr>
              <w:t>Title of each class</w:t>
            </w:r>
          </w:p>
        </w:tc>
        <w:tc>
          <w:tcPr>
            <w:tcW w:w="2240" w:type="dxa"/>
            <w:vAlign w:val="bottom"/>
            <w:tcBorders>
              <w:top w:val="single" w:sz="8" w:color="auto"/>
              <w:bottom w:val="single" w:sz="8" w:color="auto"/>
              <w:right w:val="single" w:sz="8" w:color="auto"/>
            </w:tcBorders>
          </w:tcPr>
          <w:p>
            <w:pPr>
              <w:spacing w:after="0"/>
              <w:rPr>
                <w:sz w:val="20"/>
                <w:szCs w:val="20"/>
                <w:color w:val="auto"/>
              </w:rPr>
            </w:pPr>
            <w:r>
              <w:rPr>
                <w:rFonts w:ascii="Times New Roman" w:cs="Times New Roman" w:eastAsia="Times New Roman" w:hAnsi="Times New Roman"/>
                <w:sz w:val="18"/>
                <w:szCs w:val="18"/>
                <w:color w:val="auto"/>
              </w:rPr>
              <w:t>Trading Symbols(s)</w:t>
            </w:r>
          </w:p>
        </w:tc>
        <w:tc>
          <w:tcPr>
            <w:tcW w:w="4480" w:type="dxa"/>
            <w:vAlign w:val="bottom"/>
            <w:tcBorders>
              <w:top w:val="single" w:sz="8" w:color="auto"/>
              <w:bottom w:val="single" w:sz="8" w:color="auto"/>
              <w:right w:val="single" w:sz="8" w:color="auto"/>
            </w:tcBorders>
          </w:tcPr>
          <w:p>
            <w:pPr>
              <w:spacing w:after="0"/>
              <w:rPr>
                <w:sz w:val="20"/>
                <w:szCs w:val="20"/>
                <w:color w:val="auto"/>
              </w:rPr>
            </w:pPr>
            <w:r>
              <w:rPr>
                <w:rFonts w:ascii="Times New Roman" w:cs="Times New Roman" w:eastAsia="Times New Roman" w:hAnsi="Times New Roman"/>
                <w:sz w:val="18"/>
                <w:szCs w:val="18"/>
                <w:color w:val="auto"/>
              </w:rPr>
              <w:t>Name of each exchange on which registered</w:t>
            </w:r>
          </w:p>
        </w:tc>
      </w:tr>
      <w:tr>
        <w:trPr>
          <w:trHeight w:val="210"/>
        </w:trPr>
        <w:tc>
          <w:tcPr>
            <w:tcW w:w="4520" w:type="dxa"/>
            <w:vAlign w:val="bottom"/>
            <w:tcBorders>
              <w:left w:val="single" w:sz="8" w:color="auto"/>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18"/>
                <w:szCs w:val="18"/>
                <w:color w:val="auto"/>
              </w:rPr>
              <w:t>Common stock, par value $0.001 per share</w:t>
            </w:r>
          </w:p>
        </w:tc>
        <w:tc>
          <w:tcPr>
            <w:tcW w:w="224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18"/>
                <w:szCs w:val="18"/>
                <w:color w:val="auto"/>
              </w:rPr>
              <w:t>CNSP</w:t>
            </w:r>
          </w:p>
        </w:tc>
        <w:tc>
          <w:tcPr>
            <w:tcW w:w="448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18"/>
                <w:szCs w:val="18"/>
                <w:color w:val="auto"/>
              </w:rPr>
              <w:t>The NASDAQ Stock Market LLC</w:t>
            </w:r>
          </w:p>
        </w:tc>
      </w:tr>
      <w:tr>
        <w:trPr>
          <w:trHeight w:val="965"/>
        </w:trPr>
        <w:tc>
          <w:tcPr>
            <w:tcW w:w="4520" w:type="dxa"/>
            <w:vAlign w:val="bottom"/>
            <w:tcBorders>
              <w:bottom w:val="single" w:sz="8" w:color="auto"/>
            </w:tcBorders>
          </w:tcPr>
          <w:p>
            <w:pPr>
              <w:spacing w:after="0"/>
              <w:rPr>
                <w:sz w:val="24"/>
                <w:szCs w:val="24"/>
                <w:color w:val="auto"/>
              </w:rPr>
            </w:pPr>
          </w:p>
        </w:tc>
        <w:tc>
          <w:tcPr>
            <w:tcW w:w="2240" w:type="dxa"/>
            <w:vAlign w:val="bottom"/>
            <w:tcBorders>
              <w:bottom w:val="single" w:sz="8" w:color="auto"/>
            </w:tcBorders>
          </w:tcPr>
          <w:p>
            <w:pPr>
              <w:spacing w:after="0"/>
              <w:rPr>
                <w:sz w:val="24"/>
                <w:szCs w:val="24"/>
                <w:color w:val="auto"/>
              </w:rPr>
            </w:pPr>
          </w:p>
        </w:tc>
        <w:tc>
          <w:tcPr>
            <w:tcW w:w="44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441" w:right="339" w:bottom="1440" w:gutter="0" w:footer="0" w:header="0"/>
          <w:type w:val="continuous"/>
        </w:sectPr>
      </w:pPr>
    </w:p>
    <w:bookmarkStart w:id="1" w:name="page2"/>
    <w:bookmarkEnd w:id="1"/>
    <w:p>
      <w:pPr>
        <w:spacing w:after="0"/>
        <w:tabs>
          <w:tab w:leader="none" w:pos="1280" w:val="left"/>
        </w:tabs>
        <w:rPr>
          <w:sz w:val="20"/>
          <w:szCs w:val="20"/>
          <w:color w:val="auto"/>
        </w:rPr>
      </w:pPr>
      <w:r>
        <w:rPr>
          <w:rFonts w:ascii="Times New Roman" w:cs="Times New Roman" w:eastAsia="Times New Roman" w:hAnsi="Times New Roman"/>
          <w:sz w:val="18"/>
          <w:szCs w:val="18"/>
          <w:b w:val="1"/>
          <w:bCs w:val="1"/>
          <w:color w:val="auto"/>
        </w:rPr>
        <w:t>Item 7.01</w:t>
      </w:r>
      <w:r>
        <w:rPr>
          <w:sz w:val="20"/>
          <w:szCs w:val="20"/>
          <w:color w:val="auto"/>
        </w:rPr>
        <w:tab/>
      </w:r>
      <w:r>
        <w:rPr>
          <w:rFonts w:ascii="Times New Roman" w:cs="Times New Roman" w:eastAsia="Times New Roman" w:hAnsi="Times New Roman"/>
          <w:sz w:val="18"/>
          <w:szCs w:val="18"/>
          <w:b w:val="1"/>
          <w:bCs w:val="1"/>
          <w:color w:val="auto"/>
        </w:rPr>
        <w:t>Regulation FD Disclosure</w:t>
      </w:r>
    </w:p>
    <w:p>
      <w:pPr>
        <w:spacing w:after="0" w:line="229"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18"/>
          <w:szCs w:val="18"/>
          <w:color w:val="auto"/>
        </w:rPr>
        <w:t>On January 3, 2025, CNS Pharmaceuticals, Inc. (the “Company”) posted the investor presentation set forth in Exhibit 99.1 on its website.</w:t>
      </w:r>
    </w:p>
    <w:p>
      <w:pPr>
        <w:spacing w:after="0" w:line="225" w:lineRule="exact"/>
        <w:rPr>
          <w:sz w:val="20"/>
          <w:szCs w:val="20"/>
          <w:color w:val="auto"/>
        </w:rPr>
      </w:pPr>
    </w:p>
    <w:p>
      <w:pPr>
        <w:jc w:val="both"/>
        <w:ind w:firstLine="486"/>
        <w:spacing w:after="0" w:line="266" w:lineRule="auto"/>
        <w:rPr>
          <w:sz w:val="20"/>
          <w:szCs w:val="20"/>
          <w:color w:val="auto"/>
        </w:rPr>
      </w:pPr>
      <w:r>
        <w:rPr>
          <w:rFonts w:ascii="Times New Roman" w:cs="Times New Roman" w:eastAsia="Times New Roman" w:hAnsi="Times New Roman"/>
          <w:sz w:val="18"/>
          <w:szCs w:val="18"/>
          <w:color w:val="auto"/>
        </w:rPr>
        <w:t>The information contained in Item 7.01 of this Current Report on Form 8-K is being furnished and shall not be “filed” for the purpose of the Securities Exchange Act of 1934, as amended (“Exchange Act”), nor shall it be incorporated by reference in any filing under the Exchange Act or the Securities Act of 1933, as amended (“Securities Act”), unless specifically identified therein as being incorporated by reference.</w:t>
      </w:r>
    </w:p>
    <w:p>
      <w:pPr>
        <w:spacing w:after="0" w:line="172" w:lineRule="exact"/>
        <w:rPr>
          <w:sz w:val="20"/>
          <w:szCs w:val="20"/>
          <w:color w:val="auto"/>
        </w:rPr>
      </w:pPr>
    </w:p>
    <w:p>
      <w:pPr>
        <w:spacing w:after="0"/>
        <w:tabs>
          <w:tab w:leader="none" w:pos="1280" w:val="left"/>
        </w:tabs>
        <w:rPr>
          <w:sz w:val="20"/>
          <w:szCs w:val="20"/>
          <w:color w:val="auto"/>
        </w:rPr>
      </w:pPr>
      <w:r>
        <w:rPr>
          <w:rFonts w:ascii="Times New Roman" w:cs="Times New Roman" w:eastAsia="Times New Roman" w:hAnsi="Times New Roman"/>
          <w:sz w:val="18"/>
          <w:szCs w:val="18"/>
          <w:b w:val="1"/>
          <w:bCs w:val="1"/>
          <w:color w:val="auto"/>
        </w:rPr>
        <w:t>Item 8.01</w:t>
      </w:r>
      <w:r>
        <w:rPr>
          <w:sz w:val="20"/>
          <w:szCs w:val="20"/>
          <w:color w:val="auto"/>
        </w:rPr>
        <w:tab/>
      </w:r>
      <w:r>
        <w:rPr>
          <w:rFonts w:ascii="Times New Roman" w:cs="Times New Roman" w:eastAsia="Times New Roman" w:hAnsi="Times New Roman"/>
          <w:sz w:val="17"/>
          <w:szCs w:val="17"/>
          <w:b w:val="1"/>
          <w:bCs w:val="1"/>
          <w:color w:val="auto"/>
        </w:rPr>
        <w:t>Other Events</w:t>
      </w:r>
    </w:p>
    <w:p>
      <w:pPr>
        <w:spacing w:after="0" w:line="229" w:lineRule="exact"/>
        <w:rPr>
          <w:sz w:val="20"/>
          <w:szCs w:val="20"/>
          <w:color w:val="auto"/>
        </w:rPr>
      </w:pPr>
    </w:p>
    <w:p>
      <w:pPr>
        <w:jc w:val="both"/>
        <w:ind w:right="20" w:firstLine="486"/>
        <w:spacing w:after="0" w:line="282" w:lineRule="auto"/>
        <w:rPr>
          <w:sz w:val="20"/>
          <w:szCs w:val="20"/>
          <w:color w:val="auto"/>
        </w:rPr>
      </w:pPr>
      <w:r>
        <w:rPr>
          <w:rFonts w:ascii="Times New Roman" w:cs="Times New Roman" w:eastAsia="Times New Roman" w:hAnsi="Times New Roman"/>
          <w:sz w:val="18"/>
          <w:szCs w:val="18"/>
          <w:color w:val="auto"/>
        </w:rPr>
        <w:t>Subsequent to the filing of the Company’s Form 10-Q for the quarter ended September 30, 2024, the Company has sold 17,475,827 shares of common stock pursuant to its at-the-market sales agreement. As of January 3, 2025, the Company has 74,962,533 shares of common stock outstanding.</w:t>
      </w:r>
    </w:p>
    <w:p>
      <w:pPr>
        <w:spacing w:after="0" w:line="158" w:lineRule="exact"/>
        <w:rPr>
          <w:sz w:val="20"/>
          <w:szCs w:val="20"/>
          <w:color w:val="auto"/>
        </w:rPr>
      </w:pPr>
    </w:p>
    <w:tbl>
      <w:tblPr>
        <w:tblLayout w:type="fixed"/>
        <w:tblInd w:w="0" w:type="dxa"/>
        <w:tblCellMar>
          <w:top w:w="0" w:type="dxa"/>
          <w:left w:w="0" w:type="dxa"/>
          <w:bottom w:w="0" w:type="dxa"/>
          <w:right w:w="0" w:type="dxa"/>
        </w:tblCellMar>
      </w:tblPr>
      <w:tr>
        <w:trPr>
          <w:trHeight w:val="238"/>
        </w:trPr>
        <w:tc>
          <w:tcPr>
            <w:tcW w:w="11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Item 9.01</w:t>
            </w:r>
          </w:p>
        </w:tc>
        <w:tc>
          <w:tcPr>
            <w:tcW w:w="10100" w:type="dxa"/>
            <w:vAlign w:val="bottom"/>
            <w:gridSpan w:val="3"/>
          </w:tcPr>
          <w:p>
            <w:pPr>
              <w:ind w:left="160"/>
              <w:spacing w:after="0"/>
              <w:rPr>
                <w:sz w:val="20"/>
                <w:szCs w:val="20"/>
                <w:color w:val="auto"/>
              </w:rPr>
            </w:pPr>
            <w:r>
              <w:rPr>
                <w:rFonts w:ascii="Times New Roman" w:cs="Times New Roman" w:eastAsia="Times New Roman" w:hAnsi="Times New Roman"/>
                <w:sz w:val="18"/>
                <w:szCs w:val="18"/>
                <w:b w:val="1"/>
                <w:bCs w:val="1"/>
                <w:color w:val="auto"/>
              </w:rPr>
              <w:t>Financial Statements and Exhibits</w:t>
            </w:r>
          </w:p>
        </w:tc>
      </w:tr>
      <w:tr>
        <w:trPr>
          <w:trHeight w:val="439"/>
        </w:trPr>
        <w:tc>
          <w:tcPr>
            <w:tcW w:w="114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8"/>
                <w:szCs w:val="18"/>
                <w:b w:val="1"/>
                <w:bCs w:val="1"/>
                <w:color w:val="auto"/>
              </w:rPr>
              <w:t>No.</w:t>
            </w:r>
          </w:p>
        </w:tc>
        <w:tc>
          <w:tcPr>
            <w:tcW w:w="220" w:type="dxa"/>
            <w:vAlign w:val="bottom"/>
          </w:tcPr>
          <w:p>
            <w:pPr>
              <w:spacing w:after="0"/>
              <w:rPr>
                <w:sz w:val="24"/>
                <w:szCs w:val="24"/>
                <w:color w:val="auto"/>
              </w:rPr>
            </w:pPr>
          </w:p>
        </w:tc>
        <w:tc>
          <w:tcPr>
            <w:tcW w:w="988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18"/>
                <w:szCs w:val="18"/>
                <w:b w:val="1"/>
                <w:bCs w:val="1"/>
                <w:color w:val="auto"/>
              </w:rPr>
              <w:t>Description</w:t>
            </w:r>
          </w:p>
        </w:tc>
      </w:tr>
      <w:tr>
        <w:trPr>
          <w:trHeight w:val="176"/>
        </w:trPr>
        <w:tc>
          <w:tcPr>
            <w:tcW w:w="1140" w:type="dxa"/>
            <w:vAlign w:val="bottom"/>
          </w:tcPr>
          <w:p>
            <w:pPr>
              <w:spacing w:after="0" w:line="176" w:lineRule="exact"/>
              <w:rPr>
                <w:sz w:val="20"/>
                <w:szCs w:val="20"/>
                <w:color w:val="auto"/>
              </w:rPr>
            </w:pPr>
            <w:r>
              <w:rPr>
                <w:rFonts w:ascii="Times New Roman" w:cs="Times New Roman" w:eastAsia="Times New Roman" w:hAnsi="Times New Roman"/>
                <w:sz w:val="18"/>
                <w:szCs w:val="18"/>
                <w:color w:val="auto"/>
              </w:rPr>
              <w:t>99.1</w:t>
            </w:r>
          </w:p>
        </w:tc>
        <w:tc>
          <w:tcPr>
            <w:tcW w:w="220" w:type="dxa"/>
            <w:vAlign w:val="bottom"/>
          </w:tcPr>
          <w:p>
            <w:pPr>
              <w:spacing w:after="0"/>
              <w:rPr>
                <w:sz w:val="15"/>
                <w:szCs w:val="15"/>
                <w:color w:val="auto"/>
              </w:rPr>
            </w:pPr>
          </w:p>
        </w:tc>
        <w:tc>
          <w:tcPr>
            <w:tcW w:w="2340" w:type="dxa"/>
            <w:vAlign w:val="bottom"/>
            <w:tcBorders>
              <w:bottom w:val="single" w:sz="8" w:color="0000EE"/>
            </w:tcBorders>
          </w:tcPr>
          <w:p>
            <w:pPr>
              <w:spacing w:after="0" w:line="176" w:lineRule="exact"/>
              <w:rPr>
                <w:sz w:val="20"/>
                <w:szCs w:val="20"/>
                <w:color w:val="auto"/>
              </w:rPr>
            </w:pPr>
            <w:r>
              <w:rPr>
                <w:rFonts w:ascii="Times New Roman" w:cs="Times New Roman" w:eastAsia="Times New Roman" w:hAnsi="Times New Roman"/>
                <w:sz w:val="18"/>
                <w:szCs w:val="18"/>
                <w:color w:val="0000EE"/>
                <w:w w:val="99"/>
              </w:rPr>
              <w:t>Presentation dated January 2025</w:t>
            </w:r>
          </w:p>
        </w:tc>
        <w:tc>
          <w:tcPr>
            <w:tcW w:w="7540" w:type="dxa"/>
            <w:vAlign w:val="bottom"/>
          </w:tcPr>
          <w:p>
            <w:pPr>
              <w:spacing w:after="0"/>
              <w:rPr>
                <w:sz w:val="15"/>
                <w:szCs w:val="15"/>
                <w:color w:val="auto"/>
              </w:rPr>
            </w:pPr>
          </w:p>
        </w:tc>
      </w:tr>
      <w:tr>
        <w:trPr>
          <w:trHeight w:val="237"/>
        </w:trPr>
        <w:tc>
          <w:tcPr>
            <w:tcW w:w="1140" w:type="dxa"/>
            <w:vAlign w:val="bottom"/>
          </w:tcPr>
          <w:p>
            <w:pPr>
              <w:spacing w:after="0"/>
              <w:rPr>
                <w:sz w:val="20"/>
                <w:szCs w:val="20"/>
                <w:color w:val="auto"/>
              </w:rPr>
            </w:pPr>
            <w:r>
              <w:rPr>
                <w:rFonts w:ascii="Times New Roman" w:cs="Times New Roman" w:eastAsia="Times New Roman" w:hAnsi="Times New Roman"/>
                <w:sz w:val="18"/>
                <w:szCs w:val="18"/>
                <w:color w:val="auto"/>
              </w:rPr>
              <w:t>104</w:t>
            </w:r>
          </w:p>
        </w:tc>
        <w:tc>
          <w:tcPr>
            <w:tcW w:w="220" w:type="dxa"/>
            <w:vAlign w:val="bottom"/>
          </w:tcPr>
          <w:p>
            <w:pPr>
              <w:spacing w:after="0"/>
              <w:rPr>
                <w:sz w:val="20"/>
                <w:szCs w:val="20"/>
                <w:color w:val="auto"/>
              </w:rPr>
            </w:pPr>
          </w:p>
        </w:tc>
        <w:tc>
          <w:tcPr>
            <w:tcW w:w="98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Cover Page Interactive Data File (embedded within the Inline XBRL document)</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819" w:right="339" w:bottom="1440" w:gutter="0" w:footer="0" w:header="0"/>
        </w:sectPr>
      </w:pPr>
    </w:p>
    <w:bookmarkStart w:id="2" w:name="page3"/>
    <w:bookmarkEnd w:id="2"/>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Signature</w:t>
      </w:r>
    </w:p>
    <w:p>
      <w:pPr>
        <w:spacing w:after="0" w:line="229" w:lineRule="exact"/>
        <w:rPr>
          <w:sz w:val="20"/>
          <w:szCs w:val="20"/>
          <w:color w:val="auto"/>
        </w:rPr>
      </w:pPr>
    </w:p>
    <w:p>
      <w:pPr>
        <w:ind w:firstLine="486"/>
        <w:spacing w:after="0" w:line="282" w:lineRule="auto"/>
        <w:rPr>
          <w:sz w:val="20"/>
          <w:szCs w:val="20"/>
          <w:color w:val="auto"/>
        </w:rPr>
      </w:pPr>
      <w:r>
        <w:rPr>
          <w:rFonts w:ascii="Times New Roman" w:cs="Times New Roman" w:eastAsia="Times New Roman" w:hAnsi="Times New Roman"/>
          <w:sz w:val="18"/>
          <w:szCs w:val="18"/>
          <w:color w:val="auto"/>
        </w:rPr>
        <w:t>Pursuant to the requirements of the Securities Exchange Act of 1934, the registrant has duly caused this report to be signed on its behalf by the undersigned hereunto duly authorized.</w:t>
      </w:r>
    </w:p>
    <w:p>
      <w:pPr>
        <w:spacing w:after="0" w:line="200" w:lineRule="exact"/>
        <w:rPr>
          <w:sz w:val="20"/>
          <w:szCs w:val="20"/>
          <w:color w:val="auto"/>
        </w:rPr>
      </w:pPr>
    </w:p>
    <w:p>
      <w:pPr>
        <w:spacing w:after="0" w:line="394" w:lineRule="exact"/>
        <w:rPr>
          <w:sz w:val="20"/>
          <w:szCs w:val="20"/>
          <w:color w:val="auto"/>
        </w:rPr>
      </w:pPr>
    </w:p>
    <w:p>
      <w:pPr>
        <w:ind w:left="5740"/>
        <w:spacing w:after="0"/>
        <w:rPr>
          <w:sz w:val="20"/>
          <w:szCs w:val="20"/>
          <w:color w:val="auto"/>
        </w:rPr>
      </w:pPr>
      <w:r>
        <w:rPr>
          <w:rFonts w:ascii="Times New Roman" w:cs="Times New Roman" w:eastAsia="Times New Roman" w:hAnsi="Times New Roman"/>
          <w:sz w:val="18"/>
          <w:szCs w:val="18"/>
          <w:color w:val="auto"/>
        </w:rPr>
        <w:t>CNS Pharmaceuticals, Inc.</w:t>
      </w:r>
    </w:p>
    <w:p>
      <w:pPr>
        <w:spacing w:after="0" w:line="200" w:lineRule="exact"/>
        <w:rPr>
          <w:sz w:val="20"/>
          <w:szCs w:val="20"/>
          <w:color w:val="auto"/>
        </w:rPr>
      </w:pPr>
    </w:p>
    <w:p>
      <w:pPr>
        <w:spacing w:after="0" w:line="241" w:lineRule="exact"/>
        <w:rPr>
          <w:sz w:val="20"/>
          <w:szCs w:val="20"/>
          <w:color w:val="auto"/>
        </w:rPr>
      </w:pPr>
    </w:p>
    <w:p>
      <w:pPr>
        <w:ind w:left="5740"/>
        <w:spacing w:after="0"/>
        <w:rPr>
          <w:sz w:val="20"/>
          <w:szCs w:val="20"/>
          <w:color w:val="auto"/>
        </w:rPr>
      </w:pPr>
      <w:r>
        <w:rPr>
          <w:rFonts w:ascii="Times New Roman" w:cs="Times New Roman" w:eastAsia="Times New Roman" w:hAnsi="Times New Roman"/>
          <w:sz w:val="18"/>
          <w:szCs w:val="18"/>
          <w:color w:val="auto"/>
        </w:rPr>
        <w:t>By: /s/ Chris Downs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3862705</wp:posOffset>
            </wp:positionH>
            <wp:positionV relativeFrom="paragraph">
              <wp:posOffset>-7620</wp:posOffset>
            </wp:positionV>
            <wp:extent cx="1421765"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421765" cy="8255"/>
                    </a:xfrm>
                    <a:prstGeom prst="rect">
                      <a:avLst/>
                    </a:prstGeom>
                    <a:noFill/>
                  </pic:spPr>
                </pic:pic>
              </a:graphicData>
            </a:graphic>
          </wp:anchor>
        </w:drawing>
      </w:r>
    </w:p>
    <w:p>
      <w:pPr>
        <w:spacing w:after="0" w:line="7" w:lineRule="exact"/>
        <w:rPr>
          <w:sz w:val="20"/>
          <w:szCs w:val="20"/>
          <w:color w:val="auto"/>
        </w:rPr>
      </w:pPr>
    </w:p>
    <w:p>
      <w:pPr>
        <w:ind w:left="6080"/>
        <w:spacing w:after="0"/>
        <w:rPr>
          <w:sz w:val="20"/>
          <w:szCs w:val="20"/>
          <w:color w:val="auto"/>
        </w:rPr>
      </w:pPr>
      <w:r>
        <w:rPr>
          <w:rFonts w:ascii="Times New Roman" w:cs="Times New Roman" w:eastAsia="Times New Roman" w:hAnsi="Times New Roman"/>
          <w:sz w:val="18"/>
          <w:szCs w:val="18"/>
          <w:color w:val="auto"/>
        </w:rPr>
        <w:t>Chris Downs</w:t>
      </w:r>
    </w:p>
    <w:p>
      <w:pPr>
        <w:spacing w:after="0" w:line="9" w:lineRule="exact"/>
        <w:rPr>
          <w:sz w:val="20"/>
          <w:szCs w:val="20"/>
          <w:color w:val="auto"/>
        </w:rPr>
      </w:pPr>
    </w:p>
    <w:p>
      <w:pPr>
        <w:ind w:left="6080"/>
        <w:spacing w:after="0"/>
        <w:rPr>
          <w:sz w:val="20"/>
          <w:szCs w:val="20"/>
          <w:color w:val="auto"/>
        </w:rPr>
      </w:pPr>
      <w:r>
        <w:rPr>
          <w:rFonts w:ascii="Times New Roman" w:cs="Times New Roman" w:eastAsia="Times New Roman" w:hAnsi="Times New Roman"/>
          <w:sz w:val="18"/>
          <w:szCs w:val="18"/>
          <w:color w:val="auto"/>
        </w:rPr>
        <w:t>Chief Financial Officer</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Dated: January 3, 2025</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792" w:right="339" w:bottom="1440" w:gutter="0" w:footer="0" w:header="0"/>
        </w:sectPr>
      </w:pPr>
    </w:p>
    <w:bookmarkStart w:id="3" w:name="page4"/>
    <w:bookmarkEnd w:id="3"/>
    <w:p>
      <w:pPr>
        <w:spacing w:after="0"/>
        <w:rPr>
          <w:sz w:val="20"/>
          <w:szCs w:val="20"/>
          <w:color w:val="auto"/>
        </w:rPr>
      </w:pPr>
      <w:r>
        <w:rPr>
          <w:rFonts w:ascii="Times New Roman" w:cs="Times New Roman" w:eastAsia="Times New Roman" w:hAnsi="Times New Roman"/>
          <w:sz w:val="21"/>
          <w:szCs w:val="21"/>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4856480</wp:posOffset>
            </wp:positionV>
            <wp:extent cx="713232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142240</wp:posOffset>
            </wp:positionH>
            <wp:positionV relativeFrom="paragraph">
              <wp:posOffset>330200</wp:posOffset>
            </wp:positionV>
            <wp:extent cx="6858000" cy="38487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858000" cy="3848735"/>
                    </a:xfrm>
                    <a:prstGeom prst="rect">
                      <a:avLst/>
                    </a:prstGeom>
                    <a:noFill/>
                  </pic:spPr>
                </pic:pic>
              </a:graphicData>
            </a:graphic>
          </wp:anchor>
        </w:drawing>
      </w:r>
    </w:p>
    <w:p>
      <w:pPr>
        <w:sectPr>
          <w:pgSz w:w="11900" w:h="16838" w:orient="portrait"/>
          <w:cols w:equalWidth="0" w:num="1">
            <w:col w:w="10139"/>
          </w:cols>
          <w:pgMar w:left="320" w:top="108" w:right="1440" w:bottom="1440" w:gutter="0" w:footer="0" w:header="0"/>
        </w:sectPr>
      </w:pPr>
    </w:p>
    <w:bookmarkStart w:id="4" w:name="page5"/>
    <w:bookmarkEnd w:id="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5215255</wp:posOffset>
            </wp:positionV>
            <wp:extent cx="713232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688975</wp:posOffset>
            </wp:positionV>
            <wp:extent cx="6858000" cy="38487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487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5069205</wp:posOffset>
            </wp:positionV>
            <wp:extent cx="7132320"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576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57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4889500</wp:posOffset>
            </wp:positionV>
            <wp:extent cx="7132320"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3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315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4906645</wp:posOffset>
            </wp:positionV>
            <wp:extent cx="7132320"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4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487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5069205</wp:posOffset>
            </wp:positionV>
            <wp:extent cx="7132320"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688975</wp:posOffset>
            </wp:positionV>
            <wp:extent cx="6858000" cy="38576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57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5206365</wp:posOffset>
            </wp:positionV>
            <wp:extent cx="7132320" cy="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688975</wp:posOffset>
            </wp:positionV>
            <wp:extent cx="6858000" cy="38404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404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4915535</wp:posOffset>
            </wp:positionV>
            <wp:extent cx="7132320"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576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57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4898390</wp:posOffset>
            </wp:positionV>
            <wp:extent cx="713232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404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404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4889500</wp:posOffset>
            </wp:positionV>
            <wp:extent cx="7132320" cy="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31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315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4906645</wp:posOffset>
            </wp:positionV>
            <wp:extent cx="7132320" cy="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487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487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4915535</wp:posOffset>
            </wp:positionV>
            <wp:extent cx="7132320"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576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57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4889500</wp:posOffset>
            </wp:positionV>
            <wp:extent cx="713232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315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315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4915535</wp:posOffset>
            </wp:positionV>
            <wp:extent cx="7132320" cy="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576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57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4889500</wp:posOffset>
            </wp:positionV>
            <wp:extent cx="713232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315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315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5043805</wp:posOffset>
            </wp:positionV>
            <wp:extent cx="7132320" cy="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688975</wp:posOffset>
            </wp:positionV>
            <wp:extent cx="6858000" cy="38322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322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5069840</wp:posOffset>
            </wp:positionV>
            <wp:extent cx="7132320" cy="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688975</wp:posOffset>
            </wp:positionV>
            <wp:extent cx="6858000" cy="38576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57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4915535</wp:posOffset>
            </wp:positionV>
            <wp:extent cx="7132320" cy="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576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57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5069205</wp:posOffset>
            </wp:positionV>
            <wp:extent cx="7132320" cy="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576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576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5043805</wp:posOffset>
            </wp:positionV>
            <wp:extent cx="7132320" cy="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688975</wp:posOffset>
            </wp:positionV>
            <wp:extent cx="6858000" cy="38315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315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4906645</wp:posOffset>
            </wp:positionV>
            <wp:extent cx="7132320"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487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487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4880610</wp:posOffset>
            </wp:positionV>
            <wp:extent cx="7132320" cy="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233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233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4906645</wp:posOffset>
            </wp:positionV>
            <wp:extent cx="7132320" cy="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page">
              <wp:posOffset>345440</wp:posOffset>
            </wp:positionH>
            <wp:positionV relativeFrom="page">
              <wp:posOffset>534670</wp:posOffset>
            </wp:positionV>
            <wp:extent cx="6858000" cy="38487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858000" cy="384873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27B23C6"/>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png"/><Relationship Id="rId56" Type="http://schemas.openxmlformats.org/officeDocument/2006/relationships/image" Target="media/image49.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2025-01-03T16:05:12Z</dcterms:created>
  <dcterms:modified xsi:type="dcterms:W3CDTF">2025-01-03T16:05:12Z</dcterms:modified>
</cp:coreProperties>
</file>