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November 26, 2024</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441"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441"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441"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965"/>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441" w:right="339" w:bottom="1440" w:gutter="0" w:footer="0" w:header="0"/>
          <w:type w:val="continuous"/>
        </w:sectPr>
      </w:pPr>
    </w:p>
    <w:bookmarkStart w:id="1" w:name="page2"/>
    <w:bookmarkEnd w:id="1"/>
    <w:p>
      <w:pPr>
        <w:spacing w:after="0"/>
        <w:tabs>
          <w:tab w:leader="none" w:pos="940" w:val="left"/>
        </w:tabs>
        <w:rPr>
          <w:sz w:val="20"/>
          <w:szCs w:val="20"/>
          <w:color w:val="auto"/>
        </w:rPr>
      </w:pPr>
      <w:r>
        <w:rPr>
          <w:rFonts w:ascii="Times New Roman" w:cs="Times New Roman" w:eastAsia="Times New Roman" w:hAnsi="Times New Roman"/>
          <w:sz w:val="18"/>
          <w:szCs w:val="18"/>
          <w:b w:val="1"/>
          <w:bCs w:val="1"/>
          <w:color w:val="auto"/>
        </w:rPr>
        <w:t>Item 5.07</w:t>
      </w:r>
      <w:r>
        <w:rPr>
          <w:sz w:val="20"/>
          <w:szCs w:val="20"/>
          <w:color w:val="auto"/>
        </w:rPr>
        <w:tab/>
      </w:r>
      <w:r>
        <w:rPr>
          <w:rFonts w:ascii="Times New Roman" w:cs="Times New Roman" w:eastAsia="Times New Roman" w:hAnsi="Times New Roman"/>
          <w:sz w:val="17"/>
          <w:szCs w:val="17"/>
          <w:b w:val="1"/>
          <w:bCs w:val="1"/>
          <w:color w:val="auto"/>
        </w:rPr>
        <w:t>Submission of Matters to a Vote of Security Holders.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CNS Pharmaceuticals, Inc. (the “Company”) held a special meeting of stockholders (the “Special Meeting”) at 9:30 a.m. MT at the Wells Fargo Center, 13th Floor - Uintah Boardroom, 299 S Main St, Salt Lake City, UT 84111. As of October 16, 2024, the record date for the Special Meeting, there were 33,446,403 shares of common stock issued and outstanding and entitled to vote on the proposals presented at the Special Meeting, of which 11,310,361, or 33.82%, were present in person or represented by proxy, which constituted a quorum. The holders of shares of Company common stock are entitled to one vote for each share held. Set forth below are the final voting results for each of the proposals submitted to a vote of the Company's stockholders at the Special Meeting.</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proposals are described in detail in the Proxy Statement, the relevant portions of which are incorporated herein by reference.</w:t>
      </w:r>
    </w:p>
    <w:p>
      <w:pPr>
        <w:spacing w:after="0" w:line="22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Proposal 1. Reverse Split Authorization Approval – </w:t>
      </w:r>
      <w:r>
        <w:rPr>
          <w:rFonts w:ascii="Times New Roman" w:cs="Times New Roman" w:eastAsia="Times New Roman" w:hAnsi="Times New Roman"/>
          <w:sz w:val="18"/>
          <w:szCs w:val="18"/>
          <w:color w:val="auto"/>
        </w:rPr>
        <w:t>The Company’s stockholders granted the Company’s Board of Directors authority, in its sole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discretion, prior to the one-year anniversary of the Special Meeting, to effect a reverse stock split of the outstanding shares of the Company’s common stock, at a reverse split ratio of between 1-for-2 and 1-for-50 as determined by the Board of Directors, by the following vote:</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740" w:type="dxa"/>
            <w:vAlign w:val="bottom"/>
            <w:tcBorders>
              <w:bottom w:val="single" w:sz="8" w:color="auto"/>
            </w:tcBorders>
          </w:tcPr>
          <w:p>
            <w:pPr>
              <w:ind w:left="1040"/>
              <w:spacing w:after="0"/>
              <w:rPr>
                <w:sz w:val="20"/>
                <w:szCs w:val="20"/>
                <w:color w:val="auto"/>
              </w:rPr>
            </w:pPr>
            <w:r>
              <w:rPr>
                <w:rFonts w:ascii="Times New Roman" w:cs="Times New Roman" w:eastAsia="Times New Roman" w:hAnsi="Times New Roman"/>
                <w:sz w:val="18"/>
                <w:szCs w:val="18"/>
                <w:b w:val="1"/>
                <w:bCs w:val="1"/>
                <w:color w:val="auto"/>
              </w:rPr>
              <w:t>Votes For</w:t>
            </w:r>
          </w:p>
        </w:tc>
        <w:tc>
          <w:tcPr>
            <w:tcW w:w="30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Votes Against</w:t>
            </w:r>
          </w:p>
        </w:tc>
        <w:tc>
          <w:tcPr>
            <w:tcW w:w="2500" w:type="dxa"/>
            <w:vAlign w:val="bottom"/>
            <w:tcBorders>
              <w:bottom w:val="single" w:sz="8" w:color="auto"/>
            </w:tcBorders>
          </w:tcPr>
          <w:p>
            <w:pPr>
              <w:ind w:left="980"/>
              <w:spacing w:after="0"/>
              <w:rPr>
                <w:sz w:val="20"/>
                <w:szCs w:val="20"/>
                <w:color w:val="auto"/>
              </w:rPr>
            </w:pPr>
            <w:r>
              <w:rPr>
                <w:rFonts w:ascii="Times New Roman" w:cs="Times New Roman" w:eastAsia="Times New Roman" w:hAnsi="Times New Roman"/>
                <w:sz w:val="18"/>
                <w:szCs w:val="18"/>
                <w:b w:val="1"/>
                <w:bCs w:val="1"/>
                <w:color w:val="auto"/>
              </w:rPr>
              <w:t>Abstain</w:t>
            </w:r>
          </w:p>
        </w:tc>
        <w:tc>
          <w:tcPr>
            <w:tcW w:w="3000" w:type="dxa"/>
            <w:vAlign w:val="bottom"/>
            <w:tcBorders>
              <w:bottom w:val="single" w:sz="8" w:color="auto"/>
            </w:tcBorders>
          </w:tcPr>
          <w:p>
            <w:pPr>
              <w:jc w:val="center"/>
              <w:ind w:left="90"/>
              <w:spacing w:after="0"/>
              <w:rPr>
                <w:sz w:val="20"/>
                <w:szCs w:val="20"/>
                <w:color w:val="auto"/>
              </w:rPr>
            </w:pPr>
            <w:r>
              <w:rPr>
                <w:rFonts w:ascii="Times New Roman" w:cs="Times New Roman" w:eastAsia="Times New Roman" w:hAnsi="Times New Roman"/>
                <w:sz w:val="18"/>
                <w:szCs w:val="18"/>
                <w:b w:val="1"/>
                <w:bCs w:val="1"/>
                <w:color w:val="auto"/>
                <w:w w:val="98"/>
              </w:rPr>
              <w:t>Broker Non-Votes</w:t>
            </w:r>
          </w:p>
        </w:tc>
      </w:tr>
      <w:tr>
        <w:trPr>
          <w:trHeight w:val="210"/>
        </w:trPr>
        <w:tc>
          <w:tcPr>
            <w:tcW w:w="2740" w:type="dxa"/>
            <w:vAlign w:val="bottom"/>
            <w:shd w:val="clear" w:color="auto" w:fill="EEEEEE"/>
          </w:tcPr>
          <w:p>
            <w:pPr>
              <w:ind w:left="1060"/>
              <w:spacing w:after="0"/>
              <w:rPr>
                <w:sz w:val="20"/>
                <w:szCs w:val="20"/>
                <w:color w:val="auto"/>
              </w:rPr>
            </w:pPr>
            <w:r>
              <w:rPr>
                <w:rFonts w:ascii="Times New Roman" w:cs="Times New Roman" w:eastAsia="Times New Roman" w:hAnsi="Times New Roman"/>
                <w:sz w:val="18"/>
                <w:szCs w:val="18"/>
                <w:color w:val="auto"/>
              </w:rPr>
              <w:t>7,873,677</w:t>
            </w:r>
          </w:p>
        </w:tc>
        <w:tc>
          <w:tcPr>
            <w:tcW w:w="3000" w:type="dxa"/>
            <w:vAlign w:val="bottom"/>
            <w:shd w:val="clear" w:color="auto" w:fill="EEEEEE"/>
          </w:tcPr>
          <w:p>
            <w:pPr>
              <w:jc w:val="right"/>
              <w:ind w:right="1070"/>
              <w:spacing w:after="0"/>
              <w:rPr>
                <w:sz w:val="20"/>
                <w:szCs w:val="20"/>
                <w:color w:val="auto"/>
              </w:rPr>
            </w:pPr>
            <w:r>
              <w:rPr>
                <w:rFonts w:ascii="Times New Roman" w:cs="Times New Roman" w:eastAsia="Times New Roman" w:hAnsi="Times New Roman"/>
                <w:sz w:val="18"/>
                <w:szCs w:val="18"/>
                <w:color w:val="auto"/>
              </w:rPr>
              <w:t>3,121,776</w:t>
            </w:r>
          </w:p>
        </w:tc>
        <w:tc>
          <w:tcPr>
            <w:tcW w:w="2500" w:type="dxa"/>
            <w:vAlign w:val="bottom"/>
            <w:shd w:val="clear" w:color="auto" w:fill="EEEEEE"/>
          </w:tcPr>
          <w:p>
            <w:pPr>
              <w:ind w:left="1000"/>
              <w:spacing w:after="0"/>
              <w:rPr>
                <w:sz w:val="20"/>
                <w:szCs w:val="20"/>
                <w:color w:val="auto"/>
              </w:rPr>
            </w:pPr>
            <w:r>
              <w:rPr>
                <w:rFonts w:ascii="Times New Roman" w:cs="Times New Roman" w:eastAsia="Times New Roman" w:hAnsi="Times New Roman"/>
                <w:sz w:val="18"/>
                <w:szCs w:val="18"/>
                <w:color w:val="auto"/>
              </w:rPr>
              <w:t>314,908</w:t>
            </w:r>
          </w:p>
        </w:tc>
        <w:tc>
          <w:tcPr>
            <w:tcW w:w="3000" w:type="dxa"/>
            <w:vAlign w:val="bottom"/>
            <w:shd w:val="clear" w:color="auto" w:fill="EEEEEE"/>
          </w:tcPr>
          <w:p>
            <w:pPr>
              <w:jc w:val="right"/>
              <w:ind w:right="1270"/>
              <w:spacing w:after="0"/>
              <w:rPr>
                <w:sz w:val="20"/>
                <w:szCs w:val="20"/>
                <w:color w:val="auto"/>
              </w:rPr>
            </w:pPr>
            <w:r>
              <w:rPr>
                <w:rFonts w:ascii="Times New Roman" w:cs="Times New Roman" w:eastAsia="Times New Roman" w:hAnsi="Times New Roman"/>
                <w:sz w:val="18"/>
                <w:szCs w:val="18"/>
                <w:color w:val="auto"/>
              </w:rPr>
              <w:t>0</w:t>
            </w:r>
          </w:p>
        </w:tc>
      </w:tr>
    </w:tbl>
    <w:p>
      <w:pPr>
        <w:spacing w:after="0" w:line="200" w:lineRule="exact"/>
        <w:rPr>
          <w:sz w:val="20"/>
          <w:szCs w:val="20"/>
          <w:color w:val="auto"/>
        </w:rPr>
      </w:pPr>
    </w:p>
    <w:p>
      <w:pPr>
        <w:spacing w:after="0" w:line="210" w:lineRule="exact"/>
        <w:rPr>
          <w:sz w:val="20"/>
          <w:szCs w:val="20"/>
          <w:color w:val="auto"/>
        </w:rPr>
      </w:pPr>
    </w:p>
    <w:p>
      <w:pPr>
        <w:jc w:val="both"/>
        <w:ind w:right="140"/>
        <w:spacing w:after="0" w:line="259" w:lineRule="auto"/>
        <w:rPr>
          <w:sz w:val="20"/>
          <w:szCs w:val="20"/>
          <w:color w:val="auto"/>
        </w:rPr>
      </w:pPr>
      <w:r>
        <w:rPr>
          <w:rFonts w:ascii="Times New Roman" w:cs="Times New Roman" w:eastAsia="Times New Roman" w:hAnsi="Times New Roman"/>
          <w:sz w:val="18"/>
          <w:szCs w:val="18"/>
          <w:b w:val="1"/>
          <w:bCs w:val="1"/>
          <w:color w:val="auto"/>
        </w:rPr>
        <w:t xml:space="preserve">Proposal 2. Nasdaq Listing Rule 5635(d) Approval </w:t>
      </w:r>
      <w:r>
        <w:rPr>
          <w:rFonts w:ascii="Times New Roman" w:cs="Times New Roman" w:eastAsia="Times New Roman" w:hAnsi="Times New Roman"/>
          <w:sz w:val="18"/>
          <w:szCs w:val="18"/>
          <w:color w:val="auto"/>
        </w:rPr>
        <w:t>- For purposes of complying with Nasdaq Listing Rule 5635(d), the Company’s stockholders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approved the repricing of warrants issued to investors to purchase an aggregate of 2,434,120 shares of common stock with exercise prices ranging from $1.26 to $15.00 per share (the “Investor Warrants”), so that each of the Investor Warrants has a new exercise price equal to the lower of (i) $1.13 per share or (ii) the closing price of the Company common stock on the date when the stockholders of the Company approve the repricing of the Investor Warrants (the “Warrant Repricing Proposal”), by the following vote:</w:t>
      </w:r>
    </w:p>
    <w:p>
      <w:pPr>
        <w:spacing w:after="0" w:line="179"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740" w:type="dxa"/>
            <w:vAlign w:val="bottom"/>
            <w:tcBorders>
              <w:bottom w:val="single" w:sz="8" w:color="auto"/>
            </w:tcBorders>
          </w:tcPr>
          <w:p>
            <w:pPr>
              <w:ind w:left="1040"/>
              <w:spacing w:after="0"/>
              <w:rPr>
                <w:sz w:val="20"/>
                <w:szCs w:val="20"/>
                <w:color w:val="auto"/>
              </w:rPr>
            </w:pPr>
            <w:r>
              <w:rPr>
                <w:rFonts w:ascii="Times New Roman" w:cs="Times New Roman" w:eastAsia="Times New Roman" w:hAnsi="Times New Roman"/>
                <w:sz w:val="18"/>
                <w:szCs w:val="18"/>
                <w:b w:val="1"/>
                <w:bCs w:val="1"/>
                <w:color w:val="auto"/>
              </w:rPr>
              <w:t>Votes For</w:t>
            </w:r>
          </w:p>
        </w:tc>
        <w:tc>
          <w:tcPr>
            <w:tcW w:w="30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Votes Against</w:t>
            </w:r>
          </w:p>
        </w:tc>
        <w:tc>
          <w:tcPr>
            <w:tcW w:w="2500" w:type="dxa"/>
            <w:vAlign w:val="bottom"/>
            <w:tcBorders>
              <w:bottom w:val="single" w:sz="8" w:color="auto"/>
            </w:tcBorders>
          </w:tcPr>
          <w:p>
            <w:pPr>
              <w:ind w:left="980"/>
              <w:spacing w:after="0"/>
              <w:rPr>
                <w:sz w:val="20"/>
                <w:szCs w:val="20"/>
                <w:color w:val="auto"/>
              </w:rPr>
            </w:pPr>
            <w:r>
              <w:rPr>
                <w:rFonts w:ascii="Times New Roman" w:cs="Times New Roman" w:eastAsia="Times New Roman" w:hAnsi="Times New Roman"/>
                <w:sz w:val="18"/>
                <w:szCs w:val="18"/>
                <w:b w:val="1"/>
                <w:bCs w:val="1"/>
                <w:color w:val="auto"/>
              </w:rPr>
              <w:t>Abstain</w:t>
            </w:r>
          </w:p>
        </w:tc>
        <w:tc>
          <w:tcPr>
            <w:tcW w:w="3000" w:type="dxa"/>
            <w:vAlign w:val="bottom"/>
            <w:tcBorders>
              <w:bottom w:val="single" w:sz="8" w:color="auto"/>
            </w:tcBorders>
          </w:tcPr>
          <w:p>
            <w:pPr>
              <w:jc w:val="center"/>
              <w:ind w:left="90"/>
              <w:spacing w:after="0"/>
              <w:rPr>
                <w:sz w:val="20"/>
                <w:szCs w:val="20"/>
                <w:color w:val="auto"/>
              </w:rPr>
            </w:pPr>
            <w:r>
              <w:rPr>
                <w:rFonts w:ascii="Times New Roman" w:cs="Times New Roman" w:eastAsia="Times New Roman" w:hAnsi="Times New Roman"/>
                <w:sz w:val="18"/>
                <w:szCs w:val="18"/>
                <w:b w:val="1"/>
                <w:bCs w:val="1"/>
                <w:color w:val="auto"/>
                <w:w w:val="98"/>
              </w:rPr>
              <w:t>Broker Non-Votes</w:t>
            </w:r>
          </w:p>
        </w:tc>
      </w:tr>
      <w:tr>
        <w:trPr>
          <w:trHeight w:val="210"/>
        </w:trPr>
        <w:tc>
          <w:tcPr>
            <w:tcW w:w="2740" w:type="dxa"/>
            <w:vAlign w:val="bottom"/>
            <w:shd w:val="clear" w:color="auto" w:fill="EEEEEE"/>
          </w:tcPr>
          <w:p>
            <w:pPr>
              <w:ind w:left="1060"/>
              <w:spacing w:after="0"/>
              <w:rPr>
                <w:sz w:val="20"/>
                <w:szCs w:val="20"/>
                <w:color w:val="auto"/>
              </w:rPr>
            </w:pPr>
            <w:r>
              <w:rPr>
                <w:rFonts w:ascii="Times New Roman" w:cs="Times New Roman" w:eastAsia="Times New Roman" w:hAnsi="Times New Roman"/>
                <w:sz w:val="18"/>
                <w:szCs w:val="18"/>
                <w:color w:val="auto"/>
              </w:rPr>
              <w:t>1,458,915</w:t>
            </w:r>
          </w:p>
        </w:tc>
        <w:tc>
          <w:tcPr>
            <w:tcW w:w="3000" w:type="dxa"/>
            <w:vAlign w:val="bottom"/>
            <w:shd w:val="clear" w:color="auto" w:fill="EEEEEE"/>
          </w:tcPr>
          <w:p>
            <w:pPr>
              <w:jc w:val="right"/>
              <w:ind w:right="1070"/>
              <w:spacing w:after="0"/>
              <w:rPr>
                <w:sz w:val="20"/>
                <w:szCs w:val="20"/>
                <w:color w:val="auto"/>
              </w:rPr>
            </w:pPr>
            <w:r>
              <w:rPr>
                <w:rFonts w:ascii="Times New Roman" w:cs="Times New Roman" w:eastAsia="Times New Roman" w:hAnsi="Times New Roman"/>
                <w:sz w:val="18"/>
                <w:szCs w:val="18"/>
                <w:color w:val="auto"/>
              </w:rPr>
              <w:t>1,106,009</w:t>
            </w:r>
          </w:p>
        </w:tc>
        <w:tc>
          <w:tcPr>
            <w:tcW w:w="2500" w:type="dxa"/>
            <w:vAlign w:val="bottom"/>
            <w:shd w:val="clear" w:color="auto" w:fill="EEEEEE"/>
          </w:tcPr>
          <w:p>
            <w:pPr>
              <w:ind w:left="1000"/>
              <w:spacing w:after="0"/>
              <w:rPr>
                <w:sz w:val="20"/>
                <w:szCs w:val="20"/>
                <w:color w:val="auto"/>
              </w:rPr>
            </w:pPr>
            <w:r>
              <w:rPr>
                <w:rFonts w:ascii="Times New Roman" w:cs="Times New Roman" w:eastAsia="Times New Roman" w:hAnsi="Times New Roman"/>
                <w:sz w:val="18"/>
                <w:szCs w:val="18"/>
                <w:color w:val="auto"/>
              </w:rPr>
              <w:t>171,894</w:t>
            </w:r>
          </w:p>
        </w:tc>
        <w:tc>
          <w:tcPr>
            <w:tcW w:w="3000" w:type="dxa"/>
            <w:vAlign w:val="bottom"/>
            <w:shd w:val="clear" w:color="auto" w:fill="EEEEEE"/>
          </w:tcPr>
          <w:p>
            <w:pPr>
              <w:jc w:val="right"/>
              <w:ind w:right="950"/>
              <w:spacing w:after="0"/>
              <w:rPr>
                <w:sz w:val="20"/>
                <w:szCs w:val="20"/>
                <w:color w:val="auto"/>
              </w:rPr>
            </w:pPr>
            <w:r>
              <w:rPr>
                <w:rFonts w:ascii="Times New Roman" w:cs="Times New Roman" w:eastAsia="Times New Roman" w:hAnsi="Times New Roman"/>
                <w:sz w:val="18"/>
                <w:szCs w:val="18"/>
                <w:color w:val="auto"/>
              </w:rPr>
              <w:t>8,573,543</w:t>
            </w:r>
          </w:p>
        </w:tc>
      </w:tr>
    </w:tbl>
    <w:p>
      <w:pPr>
        <w:spacing w:after="0" w:line="200" w:lineRule="exact"/>
        <w:rPr>
          <w:sz w:val="20"/>
          <w:szCs w:val="20"/>
          <w:color w:val="auto"/>
        </w:rPr>
      </w:pPr>
    </w:p>
    <w:p>
      <w:pPr>
        <w:spacing w:after="0" w:line="210" w:lineRule="exact"/>
        <w:rPr>
          <w:sz w:val="20"/>
          <w:szCs w:val="20"/>
          <w:color w:val="auto"/>
        </w:rPr>
      </w:pPr>
    </w:p>
    <w:p>
      <w:pPr>
        <w:jc w:val="both"/>
        <w:ind w:right="140"/>
        <w:spacing w:after="0" w:line="268" w:lineRule="auto"/>
        <w:rPr>
          <w:sz w:val="20"/>
          <w:szCs w:val="20"/>
          <w:color w:val="auto"/>
        </w:rPr>
      </w:pPr>
      <w:r>
        <w:rPr>
          <w:rFonts w:ascii="Times New Roman" w:cs="Times New Roman" w:eastAsia="Times New Roman" w:hAnsi="Times New Roman"/>
          <w:sz w:val="18"/>
          <w:szCs w:val="18"/>
          <w:b w:val="1"/>
          <w:bCs w:val="1"/>
          <w:color w:val="auto"/>
        </w:rPr>
        <w:t xml:space="preserve">Proposal 3. To Authorize an Adjournment of the Special Meeting - </w:t>
      </w:r>
      <w:r>
        <w:rPr>
          <w:rFonts w:ascii="Times New Roman" w:cs="Times New Roman" w:eastAsia="Times New Roman" w:hAnsi="Times New Roman"/>
          <w:sz w:val="18"/>
          <w:szCs w:val="18"/>
          <w:color w:val="auto"/>
        </w:rPr>
        <w:t>The Company’s stockholders authorized the adjournment of the Special Meeting,</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if necessary, to solicit additional proxies if there are not sufficient votes at the time of the Special Meeting or adjournment or postponement thereof to approve any of the above proposals, by the following vote:</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740" w:type="dxa"/>
            <w:vAlign w:val="bottom"/>
            <w:tcBorders>
              <w:bottom w:val="single" w:sz="8" w:color="auto"/>
            </w:tcBorders>
          </w:tcPr>
          <w:p>
            <w:pPr>
              <w:ind w:left="1040"/>
              <w:spacing w:after="0"/>
              <w:rPr>
                <w:sz w:val="20"/>
                <w:szCs w:val="20"/>
                <w:color w:val="auto"/>
              </w:rPr>
            </w:pPr>
            <w:r>
              <w:rPr>
                <w:rFonts w:ascii="Times New Roman" w:cs="Times New Roman" w:eastAsia="Times New Roman" w:hAnsi="Times New Roman"/>
                <w:sz w:val="18"/>
                <w:szCs w:val="18"/>
                <w:b w:val="1"/>
                <w:bCs w:val="1"/>
                <w:color w:val="auto"/>
              </w:rPr>
              <w:t>Votes For</w:t>
            </w:r>
          </w:p>
        </w:tc>
        <w:tc>
          <w:tcPr>
            <w:tcW w:w="30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Votes Against</w:t>
            </w:r>
          </w:p>
        </w:tc>
        <w:tc>
          <w:tcPr>
            <w:tcW w:w="2500" w:type="dxa"/>
            <w:vAlign w:val="bottom"/>
            <w:tcBorders>
              <w:bottom w:val="single" w:sz="8" w:color="auto"/>
            </w:tcBorders>
          </w:tcPr>
          <w:p>
            <w:pPr>
              <w:ind w:left="980"/>
              <w:spacing w:after="0"/>
              <w:rPr>
                <w:sz w:val="20"/>
                <w:szCs w:val="20"/>
                <w:color w:val="auto"/>
              </w:rPr>
            </w:pPr>
            <w:r>
              <w:rPr>
                <w:rFonts w:ascii="Times New Roman" w:cs="Times New Roman" w:eastAsia="Times New Roman" w:hAnsi="Times New Roman"/>
                <w:sz w:val="18"/>
                <w:szCs w:val="18"/>
                <w:b w:val="1"/>
                <w:bCs w:val="1"/>
                <w:color w:val="auto"/>
              </w:rPr>
              <w:t>Abstain</w:t>
            </w:r>
          </w:p>
        </w:tc>
        <w:tc>
          <w:tcPr>
            <w:tcW w:w="3000" w:type="dxa"/>
            <w:vAlign w:val="bottom"/>
            <w:tcBorders>
              <w:bottom w:val="single" w:sz="8" w:color="auto"/>
            </w:tcBorders>
          </w:tcPr>
          <w:p>
            <w:pPr>
              <w:jc w:val="center"/>
              <w:ind w:left="90"/>
              <w:spacing w:after="0"/>
              <w:rPr>
                <w:sz w:val="20"/>
                <w:szCs w:val="20"/>
                <w:color w:val="auto"/>
              </w:rPr>
            </w:pPr>
            <w:r>
              <w:rPr>
                <w:rFonts w:ascii="Times New Roman" w:cs="Times New Roman" w:eastAsia="Times New Roman" w:hAnsi="Times New Roman"/>
                <w:sz w:val="18"/>
                <w:szCs w:val="18"/>
                <w:b w:val="1"/>
                <w:bCs w:val="1"/>
                <w:color w:val="auto"/>
                <w:w w:val="98"/>
              </w:rPr>
              <w:t>Broker Non-Votes</w:t>
            </w:r>
          </w:p>
        </w:tc>
      </w:tr>
      <w:tr>
        <w:trPr>
          <w:trHeight w:val="209"/>
        </w:trPr>
        <w:tc>
          <w:tcPr>
            <w:tcW w:w="2740" w:type="dxa"/>
            <w:vAlign w:val="bottom"/>
            <w:shd w:val="clear" w:color="auto" w:fill="EEEEEE"/>
          </w:tcPr>
          <w:p>
            <w:pPr>
              <w:ind w:left="1060"/>
              <w:spacing w:after="0"/>
              <w:rPr>
                <w:sz w:val="20"/>
                <w:szCs w:val="20"/>
                <w:color w:val="auto"/>
              </w:rPr>
            </w:pPr>
            <w:r>
              <w:rPr>
                <w:rFonts w:ascii="Times New Roman" w:cs="Times New Roman" w:eastAsia="Times New Roman" w:hAnsi="Times New Roman"/>
                <w:sz w:val="18"/>
                <w:szCs w:val="18"/>
                <w:color w:val="auto"/>
              </w:rPr>
              <w:t>8,022,415</w:t>
            </w:r>
          </w:p>
        </w:tc>
        <w:tc>
          <w:tcPr>
            <w:tcW w:w="3000" w:type="dxa"/>
            <w:vAlign w:val="bottom"/>
            <w:shd w:val="clear" w:color="auto" w:fill="EEEEEE"/>
          </w:tcPr>
          <w:p>
            <w:pPr>
              <w:jc w:val="right"/>
              <w:ind w:right="1070"/>
              <w:spacing w:after="0"/>
              <w:rPr>
                <w:sz w:val="20"/>
                <w:szCs w:val="20"/>
                <w:color w:val="auto"/>
              </w:rPr>
            </w:pPr>
            <w:r>
              <w:rPr>
                <w:rFonts w:ascii="Times New Roman" w:cs="Times New Roman" w:eastAsia="Times New Roman" w:hAnsi="Times New Roman"/>
                <w:sz w:val="18"/>
                <w:szCs w:val="18"/>
                <w:color w:val="auto"/>
              </w:rPr>
              <w:t>2,904,712</w:t>
            </w:r>
          </w:p>
        </w:tc>
        <w:tc>
          <w:tcPr>
            <w:tcW w:w="2500" w:type="dxa"/>
            <w:vAlign w:val="bottom"/>
            <w:shd w:val="clear" w:color="auto" w:fill="EEEEEE"/>
          </w:tcPr>
          <w:p>
            <w:pPr>
              <w:ind w:left="1000"/>
              <w:spacing w:after="0"/>
              <w:rPr>
                <w:sz w:val="20"/>
                <w:szCs w:val="20"/>
                <w:color w:val="auto"/>
              </w:rPr>
            </w:pPr>
            <w:r>
              <w:rPr>
                <w:rFonts w:ascii="Times New Roman" w:cs="Times New Roman" w:eastAsia="Times New Roman" w:hAnsi="Times New Roman"/>
                <w:sz w:val="18"/>
                <w:szCs w:val="18"/>
                <w:color w:val="auto"/>
              </w:rPr>
              <w:t>383,234</w:t>
            </w:r>
          </w:p>
        </w:tc>
        <w:tc>
          <w:tcPr>
            <w:tcW w:w="3000" w:type="dxa"/>
            <w:vAlign w:val="bottom"/>
            <w:shd w:val="clear" w:color="auto" w:fill="EEEEEE"/>
          </w:tcPr>
          <w:p>
            <w:pPr>
              <w:jc w:val="right"/>
              <w:ind w:right="1270"/>
              <w:spacing w:after="0"/>
              <w:rPr>
                <w:sz w:val="20"/>
                <w:szCs w:val="20"/>
                <w:color w:val="auto"/>
              </w:rPr>
            </w:pPr>
            <w:r>
              <w:rPr>
                <w:rFonts w:ascii="Times New Roman" w:cs="Times New Roman" w:eastAsia="Times New Roman" w:hAnsi="Times New Roman"/>
                <w:sz w:val="18"/>
                <w:szCs w:val="18"/>
                <w:color w:val="auto"/>
              </w:rPr>
              <w:t>0</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December 2,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1240"/>
      </w:cols>
      <w:pgMar w:left="320" w:top="792"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2024-12-03T05:08:15Z</dcterms:created>
  <dcterms:modified xsi:type="dcterms:W3CDTF">2024-12-03T05:08:15Z</dcterms:modified>
</cp:coreProperties>
</file>