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144" w:right="144" w:hanging="0"/>
        <w:jc w:val="center"/>
        <w:rPr>
          <w:rFonts w:ascii="Times New Roman;Times;Serif" w:hAnsi="Times New Roman;Times;Serif"/>
          <w:b/>
          <w:i w:val="false"/>
          <w:caps w:val="false"/>
          <w:smallCaps w:val="false"/>
          <w:sz w:val="20"/>
        </w:rPr>
      </w:pPr>
      <w:bookmarkStart w:id="0" w:name="cns_8k.htm"/>
      <w:bookmarkStart w:id="1" w:name="kscns_8k"/>
      <w:bookmarkEnd w:id="0"/>
      <w:bookmarkEnd w:id="1"/>
      <w:r>
        <w:rPr>
          <w:rFonts w:ascii="Times New Roman;Times;Serif" w:hAnsi="Times New Roman;Times;Serif"/>
          <w:b/>
          <w:i w:val="false"/>
          <w:caps w:val="false"/>
          <w:smallCaps w:val="false"/>
          <w:sz w:val="20"/>
        </w:rPr>
        <w:t>UNITED STATES</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FORM </w:t>
      </w:r>
      <w:bookmarkStart w:id="2" w:name="xdx_90E_edei--DocumentType_c20240912__20"/>
      <w:bookmarkEnd w:id="2"/>
      <w:r>
        <w:rPr>
          <w:rFonts w:ascii="Times New Roman;Times;Serif" w:hAnsi="Times New Roman;Times;Serif"/>
          <w:b/>
          <w:i w:val="false"/>
          <w:caps w:val="false"/>
          <w:smallCaps w:val="false"/>
          <w:sz w:val="20"/>
        </w:rPr>
        <w:t>8-K</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CURRENT REPORT</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Section 13 or 15(d) of the</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Exchange Act of 1934</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Date of Report (Date of earliest event reported): </w:t>
      </w:r>
      <w:bookmarkStart w:id="3" w:name="xdx_907_edei--DocumentPeriodEndDate_c202"/>
      <w:bookmarkEnd w:id="3"/>
      <w:r>
        <w:rPr>
          <w:rFonts w:ascii="Times New Roman;Times;Serif" w:hAnsi="Times New Roman;Times;Serif"/>
          <w:b/>
          <w:i w:val="false"/>
          <w:caps w:val="false"/>
          <w:smallCaps w:val="false"/>
          <w:sz w:val="20"/>
        </w:rPr>
        <w:t>September 12, 2024</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4"/>
        </w:rPr>
      </w:pPr>
      <w:bookmarkStart w:id="4" w:name="xdx_901_edei--EntityRegistrantName_c2024"/>
      <w:bookmarkEnd w:id="4"/>
      <w:r>
        <w:rPr>
          <w:rFonts w:ascii="Times New Roman;Times;Serif" w:hAnsi="Times New Roman;Times;Serif"/>
          <w:b/>
          <w:i w:val="false"/>
          <w:caps w:val="false"/>
          <w:smallCaps w:val="false"/>
          <w:sz w:val="24"/>
        </w:rPr>
        <w:t>CNS Pharmaceuticals, Inc.</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(Exact name of registrant as specified in its charter)</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left"/>
        <w:rPr>
          <w:caps w:val="false"/>
          <w:smallCaps w:val="false"/>
        </w:rPr>
      </w:pPr>
      <w:r>
        <w:rPr>
          <w:caps w:val="false"/>
          <w:smallCaps w:val="false"/>
        </w:rPr>
        <w:t> </w:t>
      </w:r>
    </w:p>
    <w:tbl>
      <w:tblPr>
        <w:tblW w:w="7620" w:type="dxa"/>
        <w:jc w:val="left"/>
        <w:tblInd w:w="0" w:type="dxa"/>
        <w:tblLayout w:type="fixed"/>
        <w:tblCellMar>
          <w:top w:w="0" w:type="dxa"/>
          <w:left w:w="0" w:type="dxa"/>
          <w:bottom w:w="0" w:type="dxa"/>
          <w:right w:w="0" w:type="dxa"/>
        </w:tblCellMar>
      </w:tblPr>
      <w:tblGrid>
        <w:gridCol w:w="2495"/>
        <w:gridCol w:w="2210"/>
        <w:gridCol w:w="2915"/>
      </w:tblGrid>
      <w:tr>
        <w:trPr/>
        <w:tc>
          <w:tcPr>
            <w:tcW w:w="2495" w:type="dxa"/>
            <w:tcBorders/>
            <w:vAlign w:val="center"/>
          </w:tcPr>
          <w:p>
            <w:pPr>
              <w:pStyle w:val="TableContents"/>
              <w:bidi w:val="0"/>
              <w:spacing w:before="0" w:after="283"/>
              <w:jc w:val="center"/>
              <w:rPr>
                <w:b/>
                <w:sz w:val="20"/>
              </w:rPr>
            </w:pPr>
            <w:bookmarkStart w:id="5" w:name="xdx_90E_edei--EntityIncorporationStateCo"/>
            <w:bookmarkEnd w:id="5"/>
            <w:r>
              <w:rPr>
                <w:b/>
                <w:sz w:val="20"/>
              </w:rPr>
              <w:t>Nevada</w:t>
            </w:r>
          </w:p>
        </w:tc>
        <w:tc>
          <w:tcPr>
            <w:tcW w:w="2210" w:type="dxa"/>
            <w:tcBorders/>
            <w:vAlign w:val="center"/>
          </w:tcPr>
          <w:p>
            <w:pPr>
              <w:pStyle w:val="TableContents"/>
              <w:bidi w:val="0"/>
              <w:spacing w:before="0" w:after="283"/>
              <w:jc w:val="center"/>
              <w:rPr>
                <w:b/>
                <w:sz w:val="20"/>
              </w:rPr>
            </w:pPr>
            <w:bookmarkStart w:id="6" w:name="xdx_901_edei--EntityFileNumber_c20240912"/>
            <w:bookmarkEnd w:id="6"/>
            <w:r>
              <w:rPr>
                <w:b/>
                <w:sz w:val="20"/>
              </w:rPr>
              <w:t>001-39126</w:t>
            </w:r>
          </w:p>
        </w:tc>
        <w:tc>
          <w:tcPr>
            <w:tcW w:w="2915" w:type="dxa"/>
            <w:tcBorders/>
            <w:vAlign w:val="center"/>
          </w:tcPr>
          <w:p>
            <w:pPr>
              <w:pStyle w:val="TableContents"/>
              <w:bidi w:val="0"/>
              <w:spacing w:before="0" w:after="283"/>
              <w:jc w:val="center"/>
              <w:rPr>
                <w:b/>
                <w:sz w:val="20"/>
              </w:rPr>
            </w:pPr>
            <w:bookmarkStart w:id="7" w:name="xdx_90C_edei--EntityTaxIdentificationNum"/>
            <w:bookmarkEnd w:id="7"/>
            <w:r>
              <w:rPr>
                <w:b/>
                <w:sz w:val="20"/>
              </w:rPr>
              <w:t>82-2318545</w:t>
            </w:r>
          </w:p>
        </w:tc>
      </w:tr>
      <w:tr>
        <w:trPr/>
        <w:tc>
          <w:tcPr>
            <w:tcW w:w="2495" w:type="dxa"/>
            <w:tcBorders/>
            <w:vAlign w:val="center"/>
          </w:tcPr>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(State or other jurisdiction of</w:t>
            </w:r>
          </w:p>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incorporation or organization)</w:t>
            </w:r>
          </w:p>
        </w:tc>
        <w:tc>
          <w:tcPr>
            <w:tcW w:w="2210" w:type="dxa"/>
            <w:tcBorders/>
            <w:vAlign w:val="center"/>
          </w:tcPr>
          <w:p>
            <w:pPr>
              <w:pStyle w:val="TableContents"/>
              <w:bidi w:val="0"/>
              <w:spacing w:before="0" w:after="283"/>
              <w:jc w:val="center"/>
              <w:rPr>
                <w:sz w:val="20"/>
              </w:rPr>
            </w:pPr>
            <w:r>
              <w:rPr>
                <w:sz w:val="20"/>
              </w:rPr>
              <w:t>(Commission File Number)</w:t>
            </w:r>
          </w:p>
        </w:tc>
        <w:tc>
          <w:tcPr>
            <w:tcW w:w="2915" w:type="dxa"/>
            <w:tcBorders/>
            <w:vAlign w:val="center"/>
          </w:tcPr>
          <w:p>
            <w:pPr>
              <w:pStyle w:val="TableContents"/>
              <w:bidi w:val="0"/>
              <w:spacing w:before="0" w:after="283"/>
              <w:jc w:val="center"/>
              <w:rPr>
                <w:sz w:val="20"/>
              </w:rPr>
            </w:pPr>
            <w:r>
              <w:rPr>
                <w:sz w:val="20"/>
              </w:rPr>
              <w:t>(I.R.S. Employer Identification No.)</w:t>
            </w:r>
          </w:p>
        </w:tc>
      </w:tr>
    </w:tbl>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bookmarkStart w:id="8" w:name="xdx_901_edei--EntityAddressAddressLine1_"/>
      <w:bookmarkEnd w:id="8"/>
      <w:r>
        <w:rPr>
          <w:rFonts w:ascii="Times New Roman;Times;Serif" w:hAnsi="Times New Roman;Times;Serif"/>
          <w:b/>
          <w:i w:val="false"/>
          <w:caps w:val="false"/>
          <w:smallCaps w:val="false"/>
          <w:sz w:val="20"/>
        </w:rPr>
        <w:t xml:space="preserve">2100 West Loop South, </w:t>
      </w:r>
      <w:bookmarkStart w:id="9" w:name="xdx_908_edei--EntityAddressAddressLine2_"/>
      <w:bookmarkEnd w:id="9"/>
      <w:r>
        <w:rPr>
          <w:rFonts w:ascii="Times New Roman;Times;Serif" w:hAnsi="Times New Roman;Times;Serif"/>
          <w:b/>
          <w:i w:val="false"/>
          <w:caps w:val="false"/>
          <w:smallCaps w:val="false"/>
          <w:sz w:val="20"/>
        </w:rPr>
        <w:t>Suite 900</w:t>
      </w:r>
    </w:p>
    <w:p>
      <w:pPr>
        <w:pStyle w:val="TextBody"/>
        <w:bidi w:val="0"/>
        <w:spacing w:before="0" w:after="0"/>
        <w:ind w:left="144" w:right="144" w:hanging="0"/>
        <w:jc w:val="center"/>
        <w:rPr>
          <w:rFonts w:ascii="Times New Roman;Times;Serif" w:hAnsi="Times New Roman;Times;Serif"/>
          <w:b/>
          <w:i w:val="false"/>
          <w:caps w:val="false"/>
          <w:smallCaps w:val="false"/>
          <w:sz w:val="20"/>
        </w:rPr>
      </w:pPr>
      <w:bookmarkStart w:id="10" w:name="xdx_908_edei--EntityAddressCityOrTown_c2"/>
      <w:bookmarkEnd w:id="10"/>
      <w:r>
        <w:rPr>
          <w:rFonts w:ascii="Times New Roman;Times;Serif" w:hAnsi="Times New Roman;Times;Serif"/>
          <w:b/>
          <w:i w:val="false"/>
          <w:caps w:val="false"/>
          <w:smallCaps w:val="false"/>
          <w:sz w:val="20"/>
        </w:rPr>
        <w:t xml:space="preserve">Houston, </w:t>
      </w:r>
      <w:bookmarkStart w:id="11" w:name="xdx_906_edei--EntityAddressStateOrProvin"/>
      <w:bookmarkEnd w:id="11"/>
      <w:r>
        <w:rPr>
          <w:rFonts w:ascii="Times New Roman;Times;Serif" w:hAnsi="Times New Roman;Times;Serif"/>
          <w:b/>
          <w:i w:val="false"/>
          <w:caps w:val="false"/>
          <w:smallCaps w:val="false"/>
          <w:sz w:val="20"/>
        </w:rPr>
        <w:t xml:space="preserve">Texas </w:t>
      </w:r>
      <w:bookmarkStart w:id="12" w:name="xdx_90E_edei--EntityAddressPostalZipCode"/>
      <w:bookmarkEnd w:id="12"/>
      <w:r>
        <w:rPr>
          <w:rFonts w:ascii="Times New Roman;Times;Serif" w:hAnsi="Times New Roman;Times;Serif"/>
          <w:b/>
          <w:i w:val="false"/>
          <w:caps w:val="false"/>
          <w:smallCaps w:val="false"/>
          <w:sz w:val="20"/>
        </w:rPr>
        <w:t>77027</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(Address of principal executive offices) (Zip Code)</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Registrant’s telephone number, including area code: </w:t>
      </w:r>
      <w:bookmarkStart w:id="13" w:name="xdx_901_edei--CityAreaCode_c20240912__20"/>
      <w:bookmarkEnd w:id="13"/>
      <w:r>
        <w:rPr>
          <w:rFonts w:ascii="Times New Roman;Times;Serif" w:hAnsi="Times New Roman;Times;Serif"/>
          <w:b/>
          <w:i w:val="false"/>
          <w:caps w:val="false"/>
          <w:smallCaps w:val="false"/>
          <w:sz w:val="20"/>
        </w:rPr>
        <w:t xml:space="preserve">(800) </w:t>
      </w:r>
      <w:bookmarkStart w:id="14" w:name="xdx_908_edei--LocalPhoneNumber_c20240912"/>
      <w:bookmarkEnd w:id="14"/>
      <w:r>
        <w:rPr>
          <w:rFonts w:ascii="Times New Roman;Times;Serif" w:hAnsi="Times New Roman;Times;Serif"/>
          <w:b/>
          <w:i w:val="false"/>
          <w:caps w:val="false"/>
          <w:smallCaps w:val="false"/>
          <w:sz w:val="20"/>
        </w:rPr>
        <w:t>946-9185</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Not Applicable</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(Former Name or Former Address, if Changed Since Last Report)</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0" w:right="0" w:firstLine="36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Check the appropriate box below if the Form 8-K filing is intended to simultaneously satisfy the filing obligation of the registrant under any of the following provisions (</w:t>
      </w:r>
      <w:r>
        <w:rPr>
          <w:rFonts w:ascii="Times New Roman;Times;Serif" w:hAnsi="Times New Roman;Times;Serif"/>
          <w:b w:val="false"/>
          <w:i/>
          <w:caps w:val="false"/>
          <w:smallCaps w:val="false"/>
          <w:sz w:val="20"/>
        </w:rPr>
        <w:t xml:space="preserve">see </w:t>
      </w:r>
      <w:r>
        <w:rPr>
          <w:rFonts w:ascii="Times New Roman;Times;Serif" w:hAnsi="Times New Roman;Times;Serif"/>
          <w:b w:val="false"/>
          <w:i w:val="false"/>
          <w:caps w:val="false"/>
          <w:smallCaps w:val="false"/>
          <w:sz w:val="20"/>
        </w:rPr>
        <w:t>General Instruction A.2. below):</w:t>
      </w:r>
    </w:p>
    <w:p>
      <w:pPr>
        <w:pStyle w:val="TextBody"/>
        <w:bidi w:val="0"/>
        <w:spacing w:before="0" w:after="0"/>
        <w:ind w:left="144" w:right="144" w:hanging="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5" w:name="xdx_90E_edei--WrittenCommunications_c202"/>
      <w:bookmarkEnd w:id="15"/>
      <w:r>
        <w:rPr>
          <w:caps w:val="false"/>
          <w:smallCaps w:val="false"/>
        </w:rPr>
        <w:t>☐     </w:t>
      </w:r>
      <w:r>
        <w:rPr>
          <w:rFonts w:ascii="Times New Roman;Times;Serif" w:hAnsi="Times New Roman;Times;Serif"/>
          <w:b w:val="false"/>
          <w:i w:val="false"/>
          <w:caps w:val="false"/>
          <w:smallCaps w:val="false"/>
          <w:sz w:val="20"/>
        </w:rPr>
        <w:t>Written communications pursuant to Rule 425 under the Securities Act (17 CFR 230.425)</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6" w:name="xdx_907_edei--SolicitingMaterial_c202409"/>
      <w:bookmarkEnd w:id="16"/>
      <w:r>
        <w:rPr>
          <w:caps w:val="false"/>
          <w:smallCaps w:val="false"/>
        </w:rPr>
        <w:t>☐     </w:t>
      </w:r>
      <w:r>
        <w:rPr>
          <w:rFonts w:ascii="Times New Roman;Times;Serif" w:hAnsi="Times New Roman;Times;Serif"/>
          <w:b w:val="false"/>
          <w:i w:val="false"/>
          <w:caps w:val="false"/>
          <w:smallCaps w:val="false"/>
          <w:sz w:val="20"/>
        </w:rPr>
        <w:t>Soliciting material pursuant to Rule 14a-12 under the Exchange Act (17 CFR 240.14a-12)</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7" w:name="xdx_903_edei--PreCommencementTenderOffer"/>
      <w:bookmarkEnd w:id="17"/>
      <w:r>
        <w:rPr>
          <w:caps w:val="false"/>
          <w:smallCaps w:val="false"/>
        </w:rPr>
        <w:t>☐     </w:t>
      </w:r>
      <w:r>
        <w:rPr>
          <w:rFonts w:ascii="Times New Roman;Times;Serif" w:hAnsi="Times New Roman;Times;Serif"/>
          <w:b w:val="false"/>
          <w:i w:val="false"/>
          <w:caps w:val="false"/>
          <w:smallCaps w:val="false"/>
          <w:sz w:val="20"/>
        </w:rPr>
        <w:t>Pre-commencement communications pursuant to Rule 14d-2(b) under the Exchange Act (17 CFR 240.14d-2(b))</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8" w:name="xdx_901_edei--PreCommencementIssuerTende"/>
      <w:bookmarkEnd w:id="18"/>
      <w:r>
        <w:rPr>
          <w:caps w:val="false"/>
          <w:smallCaps w:val="false"/>
        </w:rPr>
        <w:t>☐     </w:t>
      </w:r>
      <w:r>
        <w:rPr>
          <w:rFonts w:ascii="Times New Roman;Times;Serif" w:hAnsi="Times New Roman;Times;Serif"/>
          <w:b w:val="false"/>
          <w:i w:val="false"/>
          <w:caps w:val="false"/>
          <w:smallCaps w:val="false"/>
          <w:sz w:val="20"/>
        </w:rPr>
        <w:t>Pre-commencement communications pursuant to Rule 13e-4(c) under the Exchange Act (17 CFR 240.13e-4(c))</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an emerging growth company as defined in Rule 405 of the Securities Act of 1933 (§230.405 of this chapter) or Rule 12b-2 of the Securities Exchange Act of 1934 (§240.12b-2 of this chapter).</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righ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Emerging growth company </w:t>
      </w:r>
      <w:bookmarkStart w:id="19" w:name="xdx_901_edei--EntityEmergingGrowthCompan"/>
      <w:bookmarkEnd w:id="19"/>
      <w:r>
        <w:rPr>
          <w:rFonts w:ascii="Times New Roman;Times;Serif" w:hAnsi="Times New Roman;Times;Serif"/>
          <w:b w:val="false"/>
          <w:i w:val="false"/>
          <w:caps w:val="false"/>
          <w:smallCaps w:val="false"/>
          <w:sz w:val="20"/>
        </w:rPr>
        <w:t>☒</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bookmarkStart w:id="20" w:name="xdx_903_edei--EntityExTransitionPeriod_c"/>
      <w:bookmarkEnd w:id="20"/>
      <w:r>
        <w:rPr>
          <w:rFonts w:ascii="Times New Roman;Times;Serif" w:hAnsi="Times New Roman;Times;Serif"/>
          <w:b w:val="false"/>
          <w:i w:val="false"/>
          <w:caps w:val="false"/>
          <w:smallCaps w:val="false"/>
          <w:sz w:val="20"/>
        </w:rPr>
        <w:t>☐</w:t>
      </w:r>
    </w:p>
    <w:p>
      <w:pPr>
        <w:pStyle w:val="TextBody"/>
        <w:bidi w:val="0"/>
        <w:spacing w:before="0" w:after="0"/>
        <w:ind w:left="144" w:right="144" w:hanging="0"/>
        <w:jc w:val="both"/>
        <w:rPr>
          <w:caps w:val="false"/>
          <w:smallCaps w:val="false"/>
        </w:rPr>
      </w:pPr>
      <w:r>
        <w:rPr>
          <w:caps w:val="false"/>
          <w:smallCaps w:val="false"/>
        </w:rPr>
        <w:t> </w:t>
      </w:r>
    </w:p>
    <w:p>
      <w:pPr>
        <w:pStyle w:val="TextBody"/>
        <w:bidi w:val="0"/>
        <w:spacing w:before="0" w:after="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registered pursuant to Section 12(b) of the Act:</w:t>
      </w:r>
    </w:p>
    <w:p>
      <w:pPr>
        <w:pStyle w:val="TextBody"/>
        <w:bidi w:val="0"/>
        <w:spacing w:before="0" w:after="0"/>
        <w:ind w:left="144" w:right="144" w:hanging="0"/>
        <w:jc w:val="both"/>
        <w:rPr>
          <w:caps w:val="false"/>
          <w:smallCaps w:val="false"/>
        </w:rPr>
      </w:pPr>
      <w:r>
        <w:rPr>
          <w:caps w:val="false"/>
          <w:smallCaps w:val="false"/>
        </w:rPr>
        <w:t> </w:t>
      </w:r>
    </w:p>
    <w:tbl>
      <w:tblPr>
        <w:tblW w:w="8685" w:type="dxa"/>
        <w:jc w:val="left"/>
        <w:tblInd w:w="-10" w:type="dxa"/>
        <w:tblLayout w:type="fixed"/>
        <w:tblCellMar>
          <w:top w:w="28" w:type="dxa"/>
          <w:left w:w="28" w:type="dxa"/>
          <w:bottom w:w="28" w:type="dxa"/>
          <w:right w:w="28" w:type="dxa"/>
        </w:tblCellMar>
      </w:tblPr>
      <w:tblGrid>
        <w:gridCol w:w="3485"/>
        <w:gridCol w:w="1610"/>
        <w:gridCol w:w="3590"/>
      </w:tblGrid>
      <w:tr>
        <w:trPr/>
        <w:tc>
          <w:tcPr>
            <w:tcW w:w="3485" w:type="dxa"/>
            <w:tcBorders>
              <w:top w:val="single" w:sz="8" w:space="0" w:color="000000"/>
              <w:left w:val="single" w:sz="8" w:space="0" w:color="000000"/>
              <w:bottom w:val="single" w:sz="8" w:space="0" w:color="000000"/>
              <w:right w:val="single" w:sz="8" w:space="0" w:color="000000"/>
            </w:tcBorders>
            <w:vAlign w:val="center"/>
          </w:tcPr>
          <w:p>
            <w:pPr>
              <w:pStyle w:val="TableContents"/>
              <w:bidi w:val="0"/>
              <w:spacing w:before="0" w:after="283"/>
              <w:jc w:val="both"/>
              <w:rPr>
                <w:sz w:val="20"/>
              </w:rPr>
            </w:pPr>
            <w:r>
              <w:rPr>
                <w:sz w:val="20"/>
              </w:rPr>
              <w:t>Title of each class</w:t>
            </w:r>
          </w:p>
        </w:tc>
        <w:tc>
          <w:tcPr>
            <w:tcW w:w="1610"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both"/>
              <w:rPr>
                <w:sz w:val="20"/>
              </w:rPr>
            </w:pPr>
            <w:r>
              <w:rPr>
                <w:sz w:val="20"/>
              </w:rPr>
              <w:t>Trading Symbols(s)</w:t>
            </w:r>
          </w:p>
        </w:tc>
        <w:tc>
          <w:tcPr>
            <w:tcW w:w="3590"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both"/>
              <w:rPr>
                <w:sz w:val="20"/>
              </w:rPr>
            </w:pPr>
            <w:r>
              <w:rPr>
                <w:sz w:val="20"/>
              </w:rPr>
              <w:t>Name of each exchange on which registered</w:t>
            </w:r>
          </w:p>
        </w:tc>
      </w:tr>
      <w:tr>
        <w:trPr/>
        <w:tc>
          <w:tcPr>
            <w:tcW w:w="3485" w:type="dxa"/>
            <w:tcBorders>
              <w:left w:val="single" w:sz="8" w:space="0" w:color="000000"/>
              <w:bottom w:val="single" w:sz="8" w:space="0" w:color="000000"/>
              <w:right w:val="single" w:sz="8" w:space="0" w:color="000000"/>
            </w:tcBorders>
            <w:tcMar>
              <w:top w:w="0" w:type="dxa"/>
            </w:tcMar>
            <w:vAlign w:val="center"/>
          </w:tcPr>
          <w:p>
            <w:pPr>
              <w:pStyle w:val="TableContents"/>
              <w:bidi w:val="0"/>
              <w:spacing w:before="0" w:after="283"/>
              <w:jc w:val="both"/>
              <w:rPr>
                <w:sz w:val="20"/>
              </w:rPr>
            </w:pPr>
            <w:bookmarkStart w:id="21" w:name="xdx_907_edei--Security12bTitle_c20240912"/>
            <w:bookmarkEnd w:id="21"/>
            <w:r>
              <w:rPr>
                <w:sz w:val="20"/>
              </w:rPr>
              <w:t>Common stock, par value $0.001 per share</w:t>
            </w:r>
          </w:p>
        </w:tc>
        <w:tc>
          <w:tcPr>
            <w:tcW w:w="1610" w:type="dxa"/>
            <w:tcBorders>
              <w:bottom w:val="single" w:sz="8" w:space="0" w:color="000000"/>
              <w:right w:val="single" w:sz="8" w:space="0" w:color="000000"/>
            </w:tcBorders>
            <w:tcMar>
              <w:top w:w="0" w:type="dxa"/>
              <w:left w:w="0" w:type="dxa"/>
            </w:tcMar>
            <w:vAlign w:val="center"/>
          </w:tcPr>
          <w:p>
            <w:pPr>
              <w:pStyle w:val="TableContents"/>
              <w:bidi w:val="0"/>
              <w:spacing w:before="0" w:after="283"/>
              <w:jc w:val="both"/>
              <w:rPr>
                <w:sz w:val="20"/>
              </w:rPr>
            </w:pPr>
            <w:bookmarkStart w:id="22" w:name="xdx_90C_edei--TradingSymbol_c20240912__2"/>
            <w:bookmarkEnd w:id="22"/>
            <w:r>
              <w:rPr>
                <w:sz w:val="20"/>
              </w:rPr>
              <w:t>CNSP</w:t>
            </w:r>
          </w:p>
        </w:tc>
        <w:tc>
          <w:tcPr>
            <w:tcW w:w="3590" w:type="dxa"/>
            <w:tcBorders>
              <w:bottom w:val="single" w:sz="8" w:space="0" w:color="000000"/>
              <w:right w:val="single" w:sz="8" w:space="0" w:color="000000"/>
            </w:tcBorders>
            <w:tcMar>
              <w:top w:w="0" w:type="dxa"/>
              <w:left w:w="0" w:type="dxa"/>
            </w:tcMar>
            <w:vAlign w:val="center"/>
          </w:tcPr>
          <w:p>
            <w:pPr>
              <w:pStyle w:val="TableContents"/>
              <w:bidi w:val="0"/>
              <w:spacing w:before="0" w:after="283"/>
              <w:jc w:val="both"/>
              <w:rPr>
                <w:sz w:val="20"/>
              </w:rPr>
            </w:pPr>
            <w:r>
              <w:rPr>
                <w:sz w:val="20"/>
              </w:rPr>
              <w:t xml:space="preserve">The </w:t>
            </w:r>
            <w:bookmarkStart w:id="23" w:name="xdx_900_edei--SecurityExchangeName_c2024"/>
            <w:bookmarkEnd w:id="23"/>
            <w:r>
              <w:rPr>
                <w:sz w:val="20"/>
              </w:rPr>
              <w:t>NASDAQ Stock Market LLC</w:t>
            </w:r>
          </w:p>
        </w:tc>
      </w:tr>
    </w:tbl>
    <w:p>
      <w:pPr>
        <w:pStyle w:val="TextBody"/>
        <w:bidi w:val="0"/>
        <w:spacing w:before="0" w:after="0"/>
        <w:ind w:left="144" w:right="144" w:hanging="0"/>
        <w:jc w:val="both"/>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3" w:right="0" w:firstLine="14"/>
        <w:jc w:val="left"/>
        <w:rPr>
          <w:rFonts w:ascii="Times New Roman;Times;Serif" w:hAnsi="Times New Roman;Times;Serif"/>
          <w:b w:val="false"/>
          <w:i w:val="false"/>
          <w:caps w:val="false"/>
          <w:smallCaps w:val="false"/>
          <w:sz w:val="20"/>
        </w:rPr>
      </w:pPr>
      <w:r>
        <w:rPr>
          <w:rFonts w:ascii="Times New Roman;Times;Serif" w:hAnsi="Times New Roman;Times;Serif"/>
          <w:b/>
          <w:i w:val="false"/>
          <w:caps w:val="false"/>
          <w:smallCaps w:val="false"/>
          <w:sz w:val="20"/>
        </w:rPr>
        <w:t>Item 3.01.</w:t>
      </w:r>
      <w:r>
        <w:rPr>
          <w:rFonts w:ascii="Times New Roman;Times;Serif" w:hAnsi="Times New Roman;Times;Serif"/>
          <w:b w:val="false"/>
          <w:i w:val="false"/>
          <w:caps w:val="false"/>
          <w:smallCaps w:val="false"/>
          <w:sz w:val="20"/>
        </w:rPr>
        <w:t>       </w:t>
      </w:r>
      <w:r>
        <w:rPr>
          <w:rFonts w:ascii="Times New Roman;Times;Serif" w:hAnsi="Times New Roman;Times;Serif"/>
          <w:b/>
          <w:i w:val="false"/>
          <w:caps w:val="false"/>
          <w:smallCaps w:val="false"/>
          <w:sz w:val="20"/>
        </w:rPr>
        <w:t>Notice of Delisting or Failure to Satisfy a Continued Listing Rule or Standard; Transfer of Listing.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12, 2024, CNS Pharmaceuticals, Inc. (the “Company”) received a letter from the Listing Qualifications Department of The Nasdaq Stock Market (“Nasdaq”) notifying the Company that for the previous 30 consecutive business days the Company’s common stock had not maintained a closing bid price of $1.00 per share (the “Minimum Bid Price Requirement”) required for continued listing on The Nasdaq Capital Market pursuant to Nasdaq Listing Rule 5550(a)(2). The Nasdaq letter does not result in the immediate delisting of the Company’s common stock from The Nasdaq Capital Market.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Normally, a company would be afforded a 180-calendar day period to demonstrate compliance with the Minimum Bid Price Requirement. However, pursuant to Listing Rule 5810(c)(3)(A)(iv), the Company is not eligible for any compliance period specified in Rule 5810(c)(3)(A) because the Company effected one or more reverse stock splits over the prior two-year period with a cumulative ratio of 250 shares or more to one.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Accordingly, unless the Company timely requests a hearing before a Hearings Panel (the “Panel”), the Company’s securities would be subject to suspension/delisting. The Company intends to timely request a hearing before the Panel. The hearing request will automatically stay any suspension or delisting action pending the hearing and the expiration of any additional extension period if granted by the Panel following the hearing. There can be no assurance that the Panel will grant the Company an additional extension period or that the Company will ultimately regain compliance with all applicable requirements for continued listing on The Nasdaq Capital Market.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Signature</w:t>
      </w:r>
    </w:p>
    <w:p>
      <w:pPr>
        <w:pStyle w:val="TextBody"/>
        <w:bidi w:val="0"/>
        <w:spacing w:before="0" w:after="0"/>
        <w:jc w:val="center"/>
        <w:rPr>
          <w:caps w:val="false"/>
          <w:smallCaps w:val="false"/>
        </w:rPr>
      </w:pPr>
      <w:r>
        <w:rPr>
          <w:caps w:val="false"/>
          <w:smallCaps w:val="false"/>
        </w:rPr>
        <w:t> </w:t>
      </w:r>
    </w:p>
    <w:p>
      <w:pPr>
        <w:pStyle w:val="TextBody"/>
        <w:bidi w:val="0"/>
        <w:spacing w:before="0" w:after="0"/>
        <w:ind w:left="0" w:right="0" w:firstLine="54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hereunto duly authorized.</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left"/>
        <w:rPr>
          <w:caps w:val="false"/>
          <w:smallCaps w:val="false"/>
        </w:rPr>
      </w:pPr>
      <w:r>
        <w:rPr>
          <w:caps w:val="false"/>
          <w:smallCaps w:val="false"/>
        </w:rPr>
        <w:t> </w:t>
      </w:r>
    </w:p>
    <w:tbl>
      <w:tblPr>
        <w:tblW w:w="5445" w:type="dxa"/>
        <w:jc w:val="left"/>
        <w:tblInd w:w="0" w:type="dxa"/>
        <w:tblLayout w:type="fixed"/>
        <w:tblCellMar>
          <w:top w:w="0" w:type="dxa"/>
          <w:left w:w="0" w:type="dxa"/>
          <w:bottom w:w="0" w:type="dxa"/>
          <w:right w:w="0" w:type="dxa"/>
        </w:tblCellMar>
      </w:tblPr>
      <w:tblGrid>
        <w:gridCol w:w="2630"/>
        <w:gridCol w:w="365"/>
        <w:gridCol w:w="2375"/>
        <w:gridCol w:w="75"/>
      </w:tblGrid>
      <w:tr>
        <w:trPr/>
        <w:tc>
          <w:tcPr>
            <w:tcW w:w="2630" w:type="dxa"/>
            <w:tcBorders/>
            <w:vAlign w:val="center"/>
          </w:tcPr>
          <w:p>
            <w:pPr>
              <w:pStyle w:val="TableContents"/>
              <w:bidi w:val="0"/>
              <w:spacing w:before="0" w:after="283"/>
              <w:jc w:val="left"/>
              <w:rPr/>
            </w:pPr>
            <w:r>
              <w:rPr/>
              <w:t> </w:t>
            </w:r>
          </w:p>
        </w:tc>
        <w:tc>
          <w:tcPr>
            <w:tcW w:w="2740" w:type="dxa"/>
            <w:gridSpan w:val="2"/>
            <w:tcBorders/>
            <w:vAlign w:val="center"/>
          </w:tcPr>
          <w:p>
            <w:pPr>
              <w:pStyle w:val="TableContents"/>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sz w:val="20"/>
              </w:rPr>
            </w:pPr>
            <w:r>
              <w:rPr>
                <w:sz w:val="20"/>
              </w:rPr>
              <w:t xml:space="preserve">By: </w:t>
            </w:r>
          </w:p>
        </w:tc>
        <w:tc>
          <w:tcPr>
            <w:tcW w:w="2375" w:type="dxa"/>
            <w:tcBorders/>
            <w:vAlign w:val="center"/>
          </w:tcPr>
          <w:p>
            <w:pPr>
              <w:pStyle w:val="TableContents"/>
              <w:bidi w:val="0"/>
              <w:spacing w:before="0" w:after="283"/>
              <w:jc w:val="left"/>
              <w:rPr>
                <w:sz w:val="20"/>
                <w:u w:val="single"/>
              </w:rPr>
            </w:pPr>
            <w:r>
              <w:rPr>
                <w:sz w:val="20"/>
                <w:u w:val="single"/>
              </w:rPr>
              <w:t>/s/ Chris Downs                        </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sz w:val="20"/>
              </w:rPr>
            </w:pPr>
            <w:r>
              <w:rPr>
                <w:sz w:val="20"/>
              </w:rPr>
              <w:t>Chris Downs</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sz w:val="20"/>
              </w:rPr>
            </w:pPr>
            <w:r>
              <w:rPr>
                <w:sz w:val="20"/>
              </w:rPr>
              <w:t>Chief Financial Officer</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630" w:type="dxa"/>
            <w:tcBorders/>
            <w:vAlign w:val="center"/>
          </w:tcPr>
          <w:p>
            <w:pPr>
              <w:pStyle w:val="TableContents"/>
              <w:bidi w:val="0"/>
              <w:spacing w:before="0" w:after="283"/>
              <w:jc w:val="left"/>
              <w:rPr/>
            </w:pPr>
            <w:r>
              <w:rPr/>
              <w:t>Dated: September 18, 2024</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ind w:left="0" w:right="0" w:hanging="0"/>
        <w:jc w:val="left"/>
        <w:rPr/>
      </w:pPr>
      <w:r>
        <w:rPr/>
      </w:r>
      <w:r>
        <w:br w:type="page"/>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635</Words>
  <Characters>3610</Characters>
  <CharactersWithSpaces>4314</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