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September 10,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534"/>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ind w:left="20"/>
        <w:spacing w:after="0"/>
        <w:tabs>
          <w:tab w:leader="none" w:pos="1080" w:val="left"/>
        </w:tabs>
        <w:rPr>
          <w:sz w:val="20"/>
          <w:szCs w:val="20"/>
          <w:color w:val="auto"/>
        </w:rPr>
      </w:pPr>
      <w:r>
        <w:rPr>
          <w:rFonts w:ascii="Times New Roman" w:cs="Times New Roman" w:eastAsia="Times New Roman" w:hAnsi="Times New Roman"/>
          <w:sz w:val="18"/>
          <w:szCs w:val="18"/>
          <w:b w:val="1"/>
          <w:bCs w:val="1"/>
          <w:color w:val="auto"/>
        </w:rPr>
        <w:t>Item 3.01.</w:t>
      </w:r>
      <w:r>
        <w:rPr>
          <w:sz w:val="20"/>
          <w:szCs w:val="20"/>
          <w:color w:val="auto"/>
        </w:rPr>
        <w:tab/>
      </w:r>
      <w:r>
        <w:rPr>
          <w:rFonts w:ascii="Times New Roman" w:cs="Times New Roman" w:eastAsia="Times New Roman" w:hAnsi="Times New Roman"/>
          <w:sz w:val="17"/>
          <w:szCs w:val="17"/>
          <w:b w:val="1"/>
          <w:bCs w:val="1"/>
          <w:color w:val="auto"/>
        </w:rPr>
        <w:t>Notice of Delisting or Failure to Satisfy a Continued Listing Rule or Standard; Transfer of Listing.</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As previously reported, on August 17, 2023, CNS Pharmaceuticals, Inc. (the “Company”) was notified by the Listing Qualifications Department (the “Staff”) of The Nasdaq Stock Market LLC (“Nasdaq”) that it was not in compliance with the minimum $2,500,000 stockholders’ equity requirement for continued listing set forth in Listing Rule 5550(b) (the “Equity Requirement”). On February 14, 2024, the Company was notified that because it had not regained compliance with the Equity Requirement, the Company’s securities would be delisted unless it timely requested a hearing. On February 21, 2024, the Company requested a hearing, which had the effect of staying any suspension or delisting action pending the conclusion of the hearings process. On May 6, 2024, the Company received notification from the Nasdaq Hearings Panel (“Panel”) that it had granted an extension until July 15, 2024, to demonstrate compliance with the Equity Requirement. On July 12, 2024, the Company requested an extension of this time period until August 12, 2024. On July 19, 2024, the Panel granted the requested extension until August 12, 2024, which date represented the full extent of the Panel’s discretion to grant continued listing while the Company is non-compliant with the Equity Requirement.</w:t>
      </w:r>
    </w:p>
    <w:p>
      <w:pPr>
        <w:spacing w:after="0" w:line="18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September 10, 2024, the Company received a letter from the Nasdaq Office of General Counsel confirming the decision of the Panel that the Company has demonstrated compliance with the Equity Requirement and that the matter is closed.</w:t>
      </w:r>
    </w:p>
    <w:p>
      <w:pPr>
        <w:spacing w:after="0" w:line="16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According to the letter, pursuant to Nasdaq Listing Rule 5815(d)(4)(B), the Company will be subject to a Mandatory Panel Monitor for a period of one year from the date of the letter. If, within that one-year monitoring period, the Staff finds the Company again out of compliance with the Equity Requirement, notwithstanding Listing Rule 5810(c)(2), the Company will not be permitted to provide the Staff with a plan of compliance with respect to that deficiency and Staff will not be permitted to grant additional time for the Company to regain compliance with respect to that deficiency, nor will the company be afforded an applicable cure or compliance period pursuant to Listing Rule 5810(c)(3). Instead, Staff will issue a Delist Determination Letter and the Company will have an opportunity to request a new hearing with the initial Panel or a newly convened Hearings Panel if the initial Panel is unavailable. The Company will have the opportunity to respond/present to the Hearings Panel as provided by Listing Rule 5815(d)(4)(C). The Company’s securities may be at that time delisted from Nasdaq.</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September 12,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2024-09-12T08:06:36Z</dcterms:created>
  <dcterms:modified xsi:type="dcterms:W3CDTF">2024-09-12T08:06:36Z</dcterms:modified>
</cp:coreProperties>
</file>