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FORM 8-K</w:t>
      </w:r>
    </w:p>
    <w:p>
      <w:pPr>
        <w:spacing w:after="0" w:line="225"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CURRENT REPORT</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Securities Exchange Act of 1934</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7"/>
          <w:szCs w:val="17"/>
          <w:b w:val="1"/>
          <w:bCs w:val="1"/>
          <w:color w:val="auto"/>
        </w:rPr>
        <w:t>Date of Report (Date of earliest event reported): July 19, 2024</w:t>
      </w:r>
    </w:p>
    <w:p>
      <w:pPr>
        <w:spacing w:after="0" w:line="43"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194"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(Exact name of registrant as specified in its charter)</w:t>
      </w:r>
    </w:p>
    <w:p>
      <w:pPr>
        <w:spacing w:after="0" w:line="7"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ectPr>
          <w:pgSz w:w="11900" w:h="16838" w:orient="portrait"/>
          <w:cols w:equalWidth="0" w:num="1">
            <w:col w:w="11240"/>
          </w:cols>
          <w:pgMar w:left="320" w:top="225" w:right="339" w:bottom="1440" w:gutter="0" w:footer="0" w:header="0"/>
        </w:sectPr>
      </w:pPr>
    </w:p>
    <w:p>
      <w:pPr>
        <w:spacing w:after="0" w:line="203"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8"/>
          <w:szCs w:val="18"/>
          <w:b w:val="1"/>
          <w:bCs w:val="1"/>
          <w:color w:val="auto"/>
        </w:rPr>
        <w:t>Nevada</w:t>
      </w:r>
    </w:p>
    <w:p>
      <w:pPr>
        <w:spacing w:after="0" w:line="31"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7"/>
          <w:szCs w:val="17"/>
          <w:color w:val="auto"/>
        </w:rPr>
        <w:t>(State or other jurisdiction of</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8"/>
          <w:szCs w:val="18"/>
          <w:b w:val="1"/>
          <w:bCs w:val="1"/>
          <w:color w:val="auto"/>
        </w:rPr>
        <w:t>001-39126</w:t>
      </w:r>
    </w:p>
    <w:p>
      <w:pPr>
        <w:spacing w:after="0" w:line="31"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7"/>
          <w:szCs w:val="17"/>
          <w:color w:val="auto"/>
        </w:rPr>
        <w:t>(Commission File Number)</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580"/>
        <w:spacing w:after="0"/>
        <w:rPr>
          <w:sz w:val="20"/>
          <w:szCs w:val="20"/>
          <w:color w:val="auto"/>
        </w:rPr>
      </w:pPr>
      <w:r>
        <w:rPr>
          <w:rFonts w:ascii="Times New Roman" w:cs="Times New Roman" w:eastAsia="Times New Roman" w:hAnsi="Times New Roman"/>
          <w:sz w:val="18"/>
          <w:szCs w:val="18"/>
          <w:b w:val="1"/>
          <w:bCs w:val="1"/>
          <w:color w:val="auto"/>
        </w:rPr>
        <w:t>82-2318545</w:t>
      </w:r>
    </w:p>
    <w:p>
      <w:pPr>
        <w:spacing w:after="0" w:line="31" w:lineRule="exact"/>
        <w:rPr>
          <w:sz w:val="24"/>
          <w:szCs w:val="24"/>
          <w:color w:val="auto"/>
        </w:rPr>
      </w:pPr>
    </w:p>
    <w:p>
      <w:pPr>
        <w:jc w:val="center"/>
        <w:ind w:right="600"/>
        <w:spacing w:after="0"/>
        <w:rPr>
          <w:sz w:val="20"/>
          <w:szCs w:val="20"/>
          <w:color w:val="auto"/>
        </w:rPr>
      </w:pPr>
      <w:r>
        <w:rPr>
          <w:rFonts w:ascii="Times New Roman" w:cs="Times New Roman" w:eastAsia="Times New Roman" w:hAnsi="Times New Roman"/>
          <w:sz w:val="18"/>
          <w:szCs w:val="18"/>
          <w:color w:val="auto"/>
        </w:rPr>
        <w:t>(I.R.S. Employer Identification No.)</w:t>
      </w:r>
    </w:p>
    <w:p>
      <w:pPr>
        <w:spacing w:after="0" w:line="9" w:lineRule="exact"/>
        <w:rPr>
          <w:sz w:val="24"/>
          <w:szCs w:val="24"/>
          <w:color w:val="auto"/>
        </w:rPr>
      </w:pPr>
    </w:p>
    <w:p>
      <w:pPr>
        <w:sectPr>
          <w:pgSz w:w="11900" w:h="16838" w:orient="portrait"/>
          <w:cols w:equalWidth="0" w:num="3">
            <w:col w:w="3920" w:space="720"/>
            <w:col w:w="2660" w:space="720"/>
            <w:col w:w="3220"/>
          </w:cols>
          <w:pgMar w:left="320" w:top="225" w:right="339" w:bottom="1440" w:gutter="0" w:footer="0" w:header="0"/>
          <w:type w:val="continuous"/>
        </w:sectPr>
      </w:pPr>
    </w:p>
    <w:p>
      <w:pPr>
        <w:ind w:left="840"/>
        <w:spacing w:after="0"/>
        <w:rPr>
          <w:sz w:val="20"/>
          <w:szCs w:val="20"/>
          <w:color w:val="auto"/>
        </w:rPr>
      </w:pPr>
      <w:r>
        <w:rPr>
          <w:rFonts w:ascii="Times New Roman" w:cs="Times New Roman" w:eastAsia="Times New Roman" w:hAnsi="Times New Roman"/>
          <w:sz w:val="18"/>
          <w:szCs w:val="18"/>
          <w:color w:val="auto"/>
        </w:rPr>
        <w:t>incorporation or organization)</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Houston, Texas 77027</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(Address of principal executive offices) (Zip Code)</w:t>
      </w:r>
    </w:p>
    <w:p>
      <w:pPr>
        <w:sectPr>
          <w:pgSz w:w="11900" w:h="16838" w:orient="portrait"/>
          <w:cols w:equalWidth="0" w:num="1">
            <w:col w:w="11240"/>
          </w:cols>
          <w:pgMar w:left="320" w:top="225" w:right="339" w:bottom="1440" w:gutter="0" w:footer="0" w:header="0"/>
          <w:type w:val="continuous"/>
        </w:sectPr>
      </w:pP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Registrant’s telephone number, including area code: (800) 946-9185</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 Applicable</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7" w:lineRule="exact"/>
        <w:rPr>
          <w:sz w:val="24"/>
          <w:szCs w:val="24"/>
          <w:color w:val="auto"/>
        </w:rPr>
      </w:pPr>
    </w:p>
    <w:p>
      <w:pPr>
        <w:ind w:firstLine="324"/>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the registrant under any of the following provisions (</w:t>
      </w:r>
      <w:r>
        <w:rPr>
          <w:rFonts w:ascii="Times New Roman" w:cs="Times New Roman" w:eastAsia="Times New Roman" w:hAnsi="Times New Roman"/>
          <w:sz w:val="18"/>
          <w:szCs w:val="18"/>
          <w:i w:val="1"/>
          <w:iCs w:val="1"/>
          <w:color w:val="auto"/>
        </w:rPr>
        <w:t>see</w:t>
      </w:r>
      <w:r>
        <w:rPr>
          <w:rFonts w:ascii="Times New Roman" w:cs="Times New Roman" w:eastAsia="Times New Roman" w:hAnsi="Times New Roman"/>
          <w:sz w:val="18"/>
          <w:szCs w:val="18"/>
          <w:color w:val="auto"/>
        </w:rPr>
        <w:t xml:space="preserve"> General Instruction A.2. below):</w:t>
      </w:r>
    </w:p>
    <w:p>
      <w:pPr>
        <w:spacing w:after="0" w:line="162" w:lineRule="exact"/>
        <w:rPr>
          <w:sz w:val="24"/>
          <w:szCs w:val="24"/>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w:t>
      </w:r>
    </w:p>
    <w:p>
      <w:pPr>
        <w:spacing w:after="0" w:line="225" w:lineRule="exact"/>
        <w:rPr>
          <w:sz w:val="24"/>
          <w:szCs w:val="24"/>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21" w:lineRule="exact"/>
        <w:rPr>
          <w:sz w:val="24"/>
          <w:szCs w:val="24"/>
          <w:color w:val="auto"/>
        </w:rPr>
      </w:pPr>
    </w:p>
    <w:p>
      <w:pPr>
        <w:ind w:left="8940"/>
        <w:spacing w:after="0" w:line="207" w:lineRule="exact"/>
        <w:rPr>
          <w:sz w:val="20"/>
          <w:szCs w:val="20"/>
          <w:color w:val="auto"/>
        </w:rPr>
      </w:pPr>
      <w:r>
        <w:rPr>
          <w:rFonts w:ascii="Times New Roman" w:cs="Times New Roman" w:eastAsia="Times New Roman" w:hAnsi="Times New Roman"/>
          <w:sz w:val="18"/>
          <w:szCs w:val="18"/>
          <w:color w:val="auto"/>
        </w:rPr>
        <w:t xml:space="preserve">Emerging growth company </w:t>
      </w:r>
      <w:r>
        <w:rPr>
          <w:rFonts w:ascii="MS PGothic" w:cs="MS PGothic" w:eastAsia="MS PGothic" w:hAnsi="MS PGothic"/>
          <w:sz w:val="18"/>
          <w:szCs w:val="18"/>
          <w:color w:val="auto"/>
        </w:rPr>
        <w:t>☒</w:t>
      </w:r>
    </w:p>
    <w:p>
      <w:pPr>
        <w:spacing w:after="0" w:line="266" w:lineRule="exact"/>
        <w:rPr>
          <w:sz w:val="24"/>
          <w:szCs w:val="24"/>
          <w:color w:val="auto"/>
        </w:rPr>
      </w:pPr>
    </w:p>
    <w:p>
      <w:pPr>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70"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w:t>
      </w:r>
    </w:p>
    <w:p>
      <w:pPr>
        <w:spacing w:after="0" w:line="223" w:lineRule="exact"/>
        <w:rPr>
          <w:sz w:val="24"/>
          <w:szCs w:val="24"/>
          <w:color w:val="auto"/>
        </w:rPr>
      </w:pPr>
    </w:p>
    <w:tbl>
      <w:tblPr>
        <w:tblLayout w:type="fixed"/>
        <w:tblInd w:w="10" w:type="dxa"/>
        <w:tblCellMar>
          <w:top w:w="0" w:type="dxa"/>
          <w:left w:w="0" w:type="dxa"/>
          <w:bottom w:w="0" w:type="dxa"/>
          <w:right w:w="0" w:type="dxa"/>
        </w:tblCellMar>
      </w:tblPr>
      <w:tr>
        <w:trPr>
          <w:trHeight w:val="230"/>
        </w:trPr>
        <w:tc>
          <w:tcPr>
            <w:tcW w:w="4520" w:type="dxa"/>
            <w:vAlign w:val="bottom"/>
            <w:tcBorders>
              <w:top w:val="single" w:sz="8" w:color="auto"/>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Title of each class</w:t>
            </w:r>
          </w:p>
        </w:tc>
        <w:tc>
          <w:tcPr>
            <w:tcW w:w="224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Trading Symbols(s)</w:t>
            </w:r>
          </w:p>
        </w:tc>
        <w:tc>
          <w:tcPr>
            <w:tcW w:w="448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Name of each exchange on which registered</w:t>
            </w:r>
          </w:p>
        </w:tc>
      </w:tr>
      <w:tr>
        <w:trPr>
          <w:trHeight w:val="209"/>
        </w:trPr>
        <w:tc>
          <w:tcPr>
            <w:tcW w:w="452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Common stock, par value $0.001 per share</w:t>
            </w:r>
          </w:p>
        </w:tc>
        <w:tc>
          <w:tcPr>
            <w:tcW w:w="224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CNSP</w:t>
            </w:r>
          </w:p>
        </w:tc>
        <w:tc>
          <w:tcPr>
            <w:tcW w:w="44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The NASDAQ Stock Market LLC</w:t>
            </w:r>
          </w:p>
        </w:tc>
      </w:tr>
      <w:tr>
        <w:trPr>
          <w:trHeight w:val="534"/>
        </w:trPr>
        <w:tc>
          <w:tcPr>
            <w:tcW w:w="4520" w:type="dxa"/>
            <w:vAlign w:val="bottom"/>
            <w:tcBorders>
              <w:bottom w:val="single" w:sz="8" w:color="auto"/>
            </w:tcBorders>
          </w:tcPr>
          <w:p>
            <w:pPr>
              <w:spacing w:after="0"/>
              <w:rPr>
                <w:sz w:val="24"/>
                <w:szCs w:val="24"/>
                <w:color w:val="auto"/>
              </w:rPr>
            </w:pPr>
          </w:p>
        </w:tc>
        <w:tc>
          <w:tcPr>
            <w:tcW w:w="2240" w:type="dxa"/>
            <w:vAlign w:val="bottom"/>
            <w:tcBorders>
              <w:bottom w:val="single" w:sz="8" w:color="auto"/>
            </w:tcBorders>
          </w:tcPr>
          <w:p>
            <w:pPr>
              <w:spacing w:after="0"/>
              <w:rPr>
                <w:sz w:val="24"/>
                <w:szCs w:val="24"/>
                <w:color w:val="auto"/>
              </w:rPr>
            </w:pPr>
          </w:p>
        </w:tc>
        <w:tc>
          <w:tcPr>
            <w:tcW w:w="448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225" w:right="339" w:bottom="1440" w:gutter="0" w:footer="0" w:header="0"/>
          <w:type w:val="continuous"/>
        </w:sectPr>
      </w:pPr>
    </w:p>
    <w:bookmarkStart w:id="1" w:name="page2"/>
    <w:bookmarkEnd w:id="1"/>
    <w:p>
      <w:pPr>
        <w:spacing w:after="0"/>
        <w:rPr>
          <w:sz w:val="20"/>
          <w:szCs w:val="20"/>
          <w:color w:val="auto"/>
        </w:rPr>
      </w:pPr>
      <w:r>
        <w:rPr>
          <w:rFonts w:ascii="Times New Roman" w:cs="Times New Roman" w:eastAsia="Times New Roman" w:hAnsi="Times New Roman"/>
          <w:sz w:val="18"/>
          <w:szCs w:val="18"/>
          <w:b w:val="1"/>
          <w:bCs w:val="1"/>
          <w:color w:val="auto"/>
        </w:rPr>
        <w:t>Item 3.01. Notice of Delisting or Failure to Satisfy a Continued Listing Rule or Standard; Transfer of Listing.</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August 17, 2023, CNS Pharmaceuticals, Inc. (the “Company”) was notified by the Listing Qualifications Department (the “Staff”) of The Nasdaq Stock Market LLC (“Nasdaq”) that it was not in compliance with the minimum $2,500,000 stockholders’ equity requirement for continued listing set forth in Listing Rule 5550(b). On February 14, 2024, the Company was notified that because it had not regained compliance with the Nasdaq stockholders’ equity requirement, the Company’s securities would be delisted unless it timely requested a hearing. On February 21, 2024, the Company requested a hearing, which had the effect of staying any suspension or delisting action pending the conclusion of the hearings process.</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May 6, 2024, the Company received notification from the Nasdaq Hearings Panel (“Panel”) that it had granted an extension until July 15, 2024, to demonstrate compliance with Listing Rule 5550(b). On July 12, 2024, the Company requested an extension of this time period until August 12, 2024. On July 19, 2024, the Panel granted the requested extension until August 12, 2024, which date represents the full extent of the Panel’s discretion to grant continued listing while the Company is non-compliant with Listing Rule 5550(b).</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18"/>
          <w:szCs w:val="18"/>
          <w:b w:val="1"/>
          <w:bCs w:val="1"/>
          <w:color w:val="auto"/>
        </w:rPr>
        <w:t>Signature</w:t>
      </w:r>
    </w:p>
    <w:p>
      <w:pPr>
        <w:spacing w:after="0" w:line="229" w:lineRule="exact"/>
        <w:rPr>
          <w:sz w:val="20"/>
          <w:szCs w:val="20"/>
          <w:color w:val="auto"/>
        </w:rPr>
      </w:pPr>
    </w:p>
    <w:p>
      <w:pPr>
        <w:ind w:firstLine="486"/>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8"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00" w:lineRule="exact"/>
        <w:rPr>
          <w:sz w:val="20"/>
          <w:szCs w:val="20"/>
          <w:color w:val="auto"/>
        </w:rPr>
      </w:pPr>
    </w:p>
    <w:p>
      <w:pPr>
        <w:spacing w:after="0" w:line="241"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By: /s/ Chris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3862705</wp:posOffset>
            </wp:positionH>
            <wp:positionV relativeFrom="paragraph">
              <wp:posOffset>-7620</wp:posOffset>
            </wp:positionV>
            <wp:extent cx="1421765"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421765" cy="8255"/>
                    </a:xfrm>
                    <a:prstGeom prst="rect">
                      <a:avLst/>
                    </a:prstGeom>
                    <a:noFill/>
                  </pic:spPr>
                </pic:pic>
              </a:graphicData>
            </a:graphic>
          </wp:anchor>
        </w:drawing>
      </w:r>
    </w:p>
    <w:p>
      <w:pPr>
        <w:spacing w:after="0" w:line="7"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Chris Downs</w:t>
      </w:r>
    </w:p>
    <w:p>
      <w:pPr>
        <w:spacing w:after="0" w:line="9"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 July 24, 2024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sectPr>
      <w:pgSz w:w="11900" w:h="16838" w:orient="portrait"/>
      <w:cols w:equalWidth="0" w:num="1">
        <w:col w:w="11240"/>
      </w:cols>
      <w:pgMar w:left="320" w:top="792"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2024-07-24T08:34:39Z</dcterms:created>
  <dcterms:modified xsi:type="dcterms:W3CDTF">2024-07-24T08:34:39Z</dcterms:modified>
</cp:coreProperties>
</file>