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before="0" w:after="0"/>
        <w:ind w:left="0" w:right="0" w:hanging="0"/>
        <w:jc w:val="left"/>
        <w:rPr/>
      </w:pPr>
      <w:hyperlink w:anchor="q2_001">
        <w:bookmarkStart w:id="0" w:name="cns_i10q-063024.htm"/>
        <w:bookmarkStart w:id="1" w:name="kscns_i10q063024"/>
        <w:bookmarkEnd w:id="0"/>
        <w:bookmarkEnd w:id="1"/>
        <w:r>
          <w:rPr>
            <w:rStyle w:val="InternetLink"/>
            <w:rFonts w:ascii="Times New Roman;Times;Serif" w:hAnsi="Times New Roman;Times;Serif"/>
            <w:b w:val="false"/>
            <w:i w:val="false"/>
            <w:caps w:val="false"/>
            <w:smallCaps w:val="false"/>
            <w:sz w:val="14"/>
          </w:rPr>
          <w:t>Table of Contents</w:t>
        </w:r>
      </w:hyperlink>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AND EXCHANGE COMMISSION</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Washington, DC 20549</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FORM </w:t>
      </w:r>
      <w:bookmarkStart w:id="2" w:name="xdx_90D_edei--DocumentType_c20240101__20"/>
      <w:bookmarkEnd w:id="2"/>
      <w:r>
        <w:rPr>
          <w:rFonts w:ascii="Times New Roman;Times;Serif" w:hAnsi="Times New Roman;Times;Serif"/>
          <w:b/>
          <w:i w:val="false"/>
          <w:caps w:val="false"/>
          <w:smallCaps w:val="false"/>
          <w:sz w:val="20"/>
        </w:rPr>
        <w:t>10-Q</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bookmarkStart w:id="3" w:name="xdx_905_edei--DocumentQuarterlyReport_c2"/>
      <w:bookmarkEnd w:id="3"/>
      <w:r>
        <w:rPr>
          <w:caps w:val="false"/>
          <w:smallCaps w:val="false"/>
        </w:rPr>
        <w:t xml:space="preserve">☒ </w:t>
      </w:r>
      <w:r>
        <w:rPr>
          <w:rFonts w:ascii="Times New Roman;Times;Serif" w:hAnsi="Times New Roman;Times;Serif"/>
          <w:b w:val="false"/>
          <w:i w:val="false"/>
          <w:caps w:val="false"/>
          <w:smallCaps w:val="false"/>
          <w:sz w:val="20"/>
        </w:rPr>
        <w:t>QUARTERLY REPORT PURSUANT TO SECTION 13 OR 15(d) OF THE SECURITIES EXCHANGE ACT OF 1934</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For the quarterly period ended </w:t>
      </w:r>
      <w:bookmarkStart w:id="4" w:name="xdx_902_edei--DocumentPeriodEndDate_c202"/>
      <w:bookmarkEnd w:id="4"/>
      <w:r>
        <w:rPr>
          <w:rFonts w:ascii="Times New Roman;Times;Serif" w:hAnsi="Times New Roman;Times;Serif"/>
          <w:b w:val="false"/>
          <w:i w:val="false"/>
          <w:caps w:val="false"/>
          <w:smallCaps w:val="false"/>
          <w:sz w:val="20"/>
        </w:rPr>
        <w:t>June, 30, 2024</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OR</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bookmarkStart w:id="5" w:name="xdx_90D_edei--DocumentTransitionReport_c"/>
      <w:bookmarkEnd w:id="5"/>
      <w:r>
        <w:rPr>
          <w:caps w:val="false"/>
          <w:smallCaps w:val="false"/>
        </w:rPr>
        <w:t xml:space="preserve">☐ </w:t>
      </w:r>
      <w:r>
        <w:rPr>
          <w:rFonts w:ascii="Times New Roman;Times;Serif" w:hAnsi="Times New Roman;Times;Serif"/>
          <w:b w:val="false"/>
          <w:i w:val="false"/>
          <w:caps w:val="false"/>
          <w:smallCaps w:val="false"/>
          <w:sz w:val="20"/>
        </w:rPr>
        <w:t>TRANSITION REPORT PURSUANT TO SECTION 13 OR 15(d) OF THE SECURITIES EXCHANGE ACT OF 1934</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the transition period from ____________ to ______________</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Commission file number: </w:t>
      </w:r>
      <w:bookmarkStart w:id="6" w:name="xdx_90C_edei--EntityFileNumber_c20240101"/>
      <w:bookmarkEnd w:id="6"/>
      <w:r>
        <w:rPr>
          <w:rFonts w:ascii="Times New Roman;Times;Serif" w:hAnsi="Times New Roman;Times;Serif"/>
          <w:b/>
          <w:i w:val="false"/>
          <w:caps w:val="false"/>
          <w:smallCaps w:val="false"/>
          <w:sz w:val="20"/>
        </w:rPr>
        <w:t>001-39126</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4"/>
        </w:rPr>
      </w:pPr>
      <w:bookmarkStart w:id="7" w:name="xdx_90C_edei--EntityRegistrantName_c2024"/>
      <w:bookmarkEnd w:id="7"/>
      <w:r>
        <w:rPr>
          <w:rFonts w:ascii="Times New Roman;Times;Serif" w:hAnsi="Times New Roman;Times;Serif"/>
          <w:b/>
          <w:i w:val="false"/>
          <w:caps w:val="false"/>
          <w:smallCaps w:val="false"/>
          <w:sz w:val="24"/>
        </w:rPr>
        <w:t>CNS Pharmaceuticals, Inc.</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(Name of registrant as specified in its charter)</w:t>
      </w:r>
    </w:p>
    <w:p>
      <w:pPr>
        <w:pStyle w:val="TextBody"/>
        <w:bidi w:val="0"/>
        <w:spacing w:before="0" w:after="0"/>
        <w:ind w:left="0" w:right="0" w:hanging="0"/>
        <w:jc w:val="center"/>
        <w:rPr>
          <w:caps w:val="false"/>
          <w:smallCaps w:val="false"/>
        </w:rPr>
      </w:pPr>
      <w:r>
        <w:rPr>
          <w:caps w:val="false"/>
          <w:smallCaps w:val="false"/>
        </w:rPr>
        <w:t> </w:t>
      </w:r>
    </w:p>
    <w:tbl>
      <w:tblPr>
        <w:tblW w:w="7825" w:type="dxa"/>
        <w:jc w:val="left"/>
        <w:tblInd w:w="0" w:type="dxa"/>
        <w:tblLayout w:type="fixed"/>
        <w:tblCellMar>
          <w:top w:w="0" w:type="dxa"/>
          <w:left w:w="0" w:type="dxa"/>
          <w:bottom w:w="0" w:type="dxa"/>
          <w:right w:w="0" w:type="dxa"/>
        </w:tblCellMar>
      </w:tblPr>
      <w:tblGrid>
        <w:gridCol w:w="4910"/>
        <w:gridCol w:w="2915"/>
      </w:tblGrid>
      <w:tr>
        <w:trPr/>
        <w:tc>
          <w:tcPr>
            <w:tcW w:w="4910" w:type="dxa"/>
            <w:tcBorders/>
            <w:vAlign w:val="center"/>
          </w:tcPr>
          <w:p>
            <w:pPr>
              <w:pStyle w:val="TableContents"/>
              <w:bidi w:val="0"/>
              <w:spacing w:before="0" w:after="283"/>
              <w:jc w:val="center"/>
              <w:rPr>
                <w:rFonts w:ascii="Times New Roman;Times;Serif" w:hAnsi="Times New Roman;Times;Serif"/>
                <w:b/>
                <w:sz w:val="20"/>
              </w:rPr>
            </w:pPr>
            <w:bookmarkStart w:id="8" w:name="xdx_900_edei--EntityIncorporationStateCo"/>
            <w:bookmarkEnd w:id="8"/>
            <w:r>
              <w:rPr>
                <w:rFonts w:ascii="Times New Roman;Times;Serif" w:hAnsi="Times New Roman;Times;Serif"/>
                <w:b/>
                <w:sz w:val="20"/>
              </w:rPr>
              <w:t>Nevada</w:t>
            </w:r>
          </w:p>
        </w:tc>
        <w:tc>
          <w:tcPr>
            <w:tcW w:w="2915" w:type="dxa"/>
            <w:tcBorders/>
            <w:vAlign w:val="center"/>
          </w:tcPr>
          <w:p>
            <w:pPr>
              <w:pStyle w:val="TableContents"/>
              <w:bidi w:val="0"/>
              <w:spacing w:before="0" w:after="283"/>
              <w:jc w:val="center"/>
              <w:rPr>
                <w:rFonts w:ascii="Times New Roman;Times;Serif" w:hAnsi="Times New Roman;Times;Serif"/>
                <w:b/>
                <w:sz w:val="20"/>
              </w:rPr>
            </w:pPr>
            <w:bookmarkStart w:id="9" w:name="xdx_907_edei--EntityTaxIdentificationNum"/>
            <w:bookmarkEnd w:id="9"/>
            <w:r>
              <w:rPr>
                <w:rFonts w:ascii="Times New Roman;Times;Serif" w:hAnsi="Times New Roman;Times;Serif"/>
                <w:b/>
                <w:sz w:val="20"/>
              </w:rPr>
              <w:t>82-2318545</w:t>
            </w:r>
          </w:p>
        </w:tc>
      </w:tr>
      <w:tr>
        <w:trPr/>
        <w:tc>
          <w:tcPr>
            <w:tcW w:w="4910"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(State or other jurisdiction of Incorporation or Organization)</w:t>
            </w:r>
          </w:p>
        </w:tc>
        <w:tc>
          <w:tcPr>
            <w:tcW w:w="291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(I.R.S. Employer identification No.)</w:t>
            </w:r>
          </w:p>
        </w:tc>
      </w:tr>
    </w:tbl>
    <w:p>
      <w:pPr>
        <w:pStyle w:val="TextBody"/>
        <w:bidi w:val="0"/>
        <w:spacing w:before="0" w:after="0"/>
        <w:ind w:left="0" w:right="0" w:hanging="0"/>
        <w:jc w:val="center"/>
        <w:rPr>
          <w:caps w:val="false"/>
          <w:smallCaps w:val="false"/>
        </w:rPr>
      </w:pPr>
      <w:r>
        <w:rPr>
          <w:caps w:val="false"/>
          <w:smallCaps w:val="false"/>
        </w:rPr>
        <w:t> </w:t>
      </w:r>
    </w:p>
    <w:tbl>
      <w:tblPr>
        <w:tblW w:w="4075" w:type="dxa"/>
        <w:jc w:val="left"/>
        <w:tblInd w:w="0" w:type="dxa"/>
        <w:tblLayout w:type="fixed"/>
        <w:tblCellMar>
          <w:top w:w="0" w:type="dxa"/>
          <w:left w:w="0" w:type="dxa"/>
          <w:bottom w:w="0" w:type="dxa"/>
          <w:right w:w="0" w:type="dxa"/>
        </w:tblCellMar>
      </w:tblPr>
      <w:tblGrid>
        <w:gridCol w:w="3155"/>
        <w:gridCol w:w="920"/>
      </w:tblGrid>
      <w:tr>
        <w:trPr/>
        <w:tc>
          <w:tcPr>
            <w:tcW w:w="3155" w:type="dxa"/>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bookmarkStart w:id="10" w:name="xdx_905_edei--EntityAddressAddressLine1_"/>
            <w:bookmarkEnd w:id="10"/>
            <w:r>
              <w:rPr>
                <w:rFonts w:ascii="Times New Roman;Times;Serif" w:hAnsi="Times New Roman;Times;Serif"/>
                <w:b/>
                <w:i w:val="false"/>
                <w:caps w:val="false"/>
                <w:smallCaps w:val="false"/>
                <w:sz w:val="20"/>
              </w:rPr>
              <w:t xml:space="preserve">2100 West Loop South, </w:t>
            </w:r>
            <w:bookmarkStart w:id="11" w:name="xdx_905_edei--EntityAddressAddressLine2_"/>
            <w:bookmarkEnd w:id="11"/>
            <w:r>
              <w:rPr>
                <w:rFonts w:ascii="Times New Roman;Times;Serif" w:hAnsi="Times New Roman;Times;Serif"/>
                <w:b/>
                <w:i w:val="false"/>
                <w:caps w:val="false"/>
                <w:smallCaps w:val="false"/>
                <w:sz w:val="20"/>
              </w:rPr>
              <w:t>Suite 900</w:t>
            </w:r>
          </w:p>
          <w:p>
            <w:pPr>
              <w:pStyle w:val="TableContents"/>
              <w:bidi w:val="0"/>
              <w:spacing w:before="0" w:after="0"/>
              <w:ind w:left="0" w:right="0" w:hanging="0"/>
              <w:jc w:val="center"/>
              <w:rPr>
                <w:rFonts w:ascii="Times New Roman;Times;Serif" w:hAnsi="Times New Roman;Times;Serif"/>
                <w:b/>
                <w:i w:val="false"/>
                <w:caps w:val="false"/>
                <w:smallCaps w:val="false"/>
                <w:sz w:val="20"/>
              </w:rPr>
            </w:pPr>
            <w:bookmarkStart w:id="12" w:name="xdx_906_edei--EntityAddressCityOrTown_c2"/>
            <w:bookmarkEnd w:id="12"/>
            <w:r>
              <w:rPr>
                <w:rFonts w:ascii="Times New Roman;Times;Serif" w:hAnsi="Times New Roman;Times;Serif"/>
                <w:b/>
                <w:i w:val="false"/>
                <w:caps w:val="false"/>
                <w:smallCaps w:val="false"/>
                <w:sz w:val="20"/>
              </w:rPr>
              <w:t xml:space="preserve">Houston, </w:t>
            </w:r>
            <w:bookmarkStart w:id="13" w:name="xdx_90C_edei--EntityAddressStateOrProvin"/>
            <w:bookmarkEnd w:id="13"/>
            <w:r>
              <w:rPr>
                <w:rFonts w:ascii="Times New Roman;Times;Serif" w:hAnsi="Times New Roman;Times;Serif"/>
                <w:b/>
                <w:i w:val="false"/>
                <w:caps w:val="false"/>
                <w:smallCaps w:val="false"/>
                <w:sz w:val="20"/>
              </w:rPr>
              <w:t>Texas</w:t>
            </w:r>
          </w:p>
        </w:tc>
        <w:tc>
          <w:tcPr>
            <w:tcW w:w="920" w:type="dxa"/>
            <w:tcBorders/>
            <w:vAlign w:val="center"/>
          </w:tcPr>
          <w:p>
            <w:pPr>
              <w:pStyle w:val="TableContents"/>
              <w:bidi w:val="0"/>
              <w:spacing w:before="0" w:after="283"/>
              <w:jc w:val="center"/>
              <w:rPr>
                <w:rFonts w:ascii="Times New Roman;Times;Serif" w:hAnsi="Times New Roman;Times;Serif"/>
                <w:b/>
                <w:sz w:val="20"/>
              </w:rPr>
            </w:pPr>
            <w:bookmarkStart w:id="14" w:name="xdx_90F_edei--EntityAddressPostalZipCode"/>
            <w:bookmarkEnd w:id="14"/>
            <w:r>
              <w:rPr>
                <w:rFonts w:ascii="Times New Roman;Times;Serif" w:hAnsi="Times New Roman;Times;Serif"/>
                <w:b/>
                <w:sz w:val="20"/>
              </w:rPr>
              <w:t>77027</w:t>
            </w:r>
          </w:p>
        </w:tc>
      </w:tr>
      <w:tr>
        <w:trPr/>
        <w:tc>
          <w:tcPr>
            <w:tcW w:w="315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(Address of principal executive offices</w:t>
            </w:r>
          </w:p>
        </w:tc>
        <w:tc>
          <w:tcPr>
            <w:tcW w:w="920"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(Zip Code)</w:t>
            </w:r>
          </w:p>
        </w:tc>
      </w:tr>
    </w:tbl>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5" w:name="xdx_90D_edei--CityAreaCode_c20240101__20"/>
      <w:bookmarkEnd w:id="15"/>
      <w:r>
        <w:rPr>
          <w:rFonts w:ascii="Times New Roman;Times;Serif" w:hAnsi="Times New Roman;Times;Serif"/>
          <w:b/>
          <w:i w:val="false"/>
          <w:caps w:val="false"/>
          <w:smallCaps w:val="false"/>
          <w:sz w:val="20"/>
        </w:rPr>
        <w:t>800-</w:t>
      </w:r>
      <w:bookmarkStart w:id="16" w:name="xdx_907_edei--LocalPhoneNumber_c20240101"/>
      <w:bookmarkEnd w:id="16"/>
      <w:r>
        <w:rPr>
          <w:rFonts w:ascii="Times New Roman;Times;Serif" w:hAnsi="Times New Roman;Times;Serif"/>
          <w:b/>
          <w:i w:val="false"/>
          <w:caps w:val="false"/>
          <w:smallCaps w:val="false"/>
          <w:sz w:val="20"/>
        </w:rPr>
        <w:t>946-9185</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(Registrant’s telephone number, including area code)</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N/A</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(Former name or former address and former fiscal year, if changed since last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Securities registered pursuant to Section 12(b) of the Act:</w:t>
      </w:r>
    </w:p>
    <w:p>
      <w:pPr>
        <w:pStyle w:val="TextBody"/>
        <w:bidi w:val="0"/>
        <w:spacing w:before="0" w:after="0"/>
        <w:ind w:left="0" w:right="0" w:hanging="0"/>
        <w:jc w:val="left"/>
        <w:rPr>
          <w:caps w:val="false"/>
          <w:smallCaps w:val="false"/>
        </w:rPr>
      </w:pPr>
      <w:r>
        <w:rPr>
          <w:caps w:val="false"/>
          <w:smallCaps w:val="false"/>
        </w:rPr>
        <w:t> </w:t>
      </w:r>
    </w:p>
    <w:tbl>
      <w:tblPr>
        <w:tblW w:w="6682" w:type="dxa"/>
        <w:jc w:val="left"/>
        <w:tblInd w:w="0" w:type="dxa"/>
        <w:tblLayout w:type="fixed"/>
        <w:tblCellMar>
          <w:top w:w="0" w:type="dxa"/>
          <w:left w:w="0" w:type="dxa"/>
          <w:bottom w:w="0" w:type="dxa"/>
          <w:right w:w="0" w:type="dxa"/>
        </w:tblCellMar>
      </w:tblPr>
      <w:tblGrid>
        <w:gridCol w:w="1572"/>
        <w:gridCol w:w="1340"/>
        <w:gridCol w:w="3770"/>
      </w:tblGrid>
      <w:tr>
        <w:trPr/>
        <w:tc>
          <w:tcPr>
            <w:tcW w:w="1572" w:type="dxa"/>
            <w:tcBorders/>
            <w:vAlign w:val="center"/>
          </w:tcPr>
          <w:p>
            <w:pPr>
              <w:pStyle w:val="TableContents"/>
              <w:bidi w:val="0"/>
              <w:spacing w:before="0" w:after="283"/>
              <w:ind w:left="0" w:right="0" w:firstLine="7"/>
              <w:jc w:val="center"/>
              <w:rPr>
                <w:rFonts w:ascii="Times New Roman;Times;Serif" w:hAnsi="Times New Roman;Times;Serif"/>
                <w:sz w:val="20"/>
                <w:u w:val="single"/>
              </w:rPr>
            </w:pPr>
            <w:r>
              <w:rPr>
                <w:rFonts w:ascii="Times New Roman;Times;Serif" w:hAnsi="Times New Roman;Times;Serif"/>
                <w:sz w:val="20"/>
                <w:u w:val="single"/>
              </w:rPr>
              <w:t>Title of Each Class</w:t>
            </w:r>
          </w:p>
        </w:tc>
        <w:tc>
          <w:tcPr>
            <w:tcW w:w="1340" w:type="dxa"/>
            <w:tcBorders/>
            <w:vAlign w:val="center"/>
          </w:tcPr>
          <w:p>
            <w:pPr>
              <w:pStyle w:val="TableContents"/>
              <w:bidi w:val="0"/>
              <w:spacing w:before="0" w:after="283"/>
              <w:jc w:val="center"/>
              <w:rPr>
                <w:rFonts w:ascii="Times New Roman;Times;Serif" w:hAnsi="Times New Roman;Times;Serif"/>
                <w:sz w:val="20"/>
                <w:u w:val="single"/>
              </w:rPr>
            </w:pPr>
            <w:r>
              <w:rPr>
                <w:rFonts w:ascii="Times New Roman;Times;Serif" w:hAnsi="Times New Roman;Times;Serif"/>
                <w:sz w:val="20"/>
                <w:u w:val="single"/>
              </w:rPr>
              <w:t>Trading Symbol</w:t>
            </w:r>
          </w:p>
        </w:tc>
        <w:tc>
          <w:tcPr>
            <w:tcW w:w="3770" w:type="dxa"/>
            <w:tcBorders/>
            <w:vAlign w:val="center"/>
          </w:tcPr>
          <w:p>
            <w:pPr>
              <w:pStyle w:val="TableContents"/>
              <w:bidi w:val="0"/>
              <w:spacing w:before="0" w:after="283"/>
              <w:jc w:val="center"/>
              <w:rPr>
                <w:rFonts w:ascii="Times New Roman;Times;Serif" w:hAnsi="Times New Roman;Times;Serif"/>
                <w:sz w:val="20"/>
                <w:u w:val="single"/>
              </w:rPr>
            </w:pPr>
            <w:r>
              <w:rPr>
                <w:rFonts w:ascii="Times New Roman;Times;Serif" w:hAnsi="Times New Roman;Times;Serif"/>
                <w:sz w:val="20"/>
                <w:u w:val="single"/>
              </w:rPr>
              <w:t>Name of Each Exchange on Which Registered</w:t>
            </w:r>
          </w:p>
        </w:tc>
      </w:tr>
      <w:tr>
        <w:trPr/>
        <w:tc>
          <w:tcPr>
            <w:tcW w:w="1572" w:type="dxa"/>
            <w:tcBorders/>
            <w:vAlign w:val="center"/>
          </w:tcPr>
          <w:p>
            <w:pPr>
              <w:pStyle w:val="TableContents"/>
              <w:bidi w:val="0"/>
              <w:spacing w:before="0" w:after="283"/>
              <w:ind w:left="0" w:right="0" w:firstLine="7"/>
              <w:jc w:val="center"/>
              <w:rPr>
                <w:rFonts w:ascii="Times New Roman;Times;Serif" w:hAnsi="Times New Roman;Times;Serif"/>
                <w:sz w:val="20"/>
              </w:rPr>
            </w:pPr>
            <w:bookmarkStart w:id="17" w:name="xdx_90E_edei--Security12bTitle_c20240101"/>
            <w:bookmarkEnd w:id="17"/>
            <w:r>
              <w:rPr>
                <w:rFonts w:ascii="Times New Roman;Times;Serif" w:hAnsi="Times New Roman;Times;Serif"/>
                <w:sz w:val="20"/>
              </w:rPr>
              <w:t>Common Stock</w:t>
            </w:r>
          </w:p>
        </w:tc>
        <w:tc>
          <w:tcPr>
            <w:tcW w:w="1340" w:type="dxa"/>
            <w:tcBorders/>
            <w:vAlign w:val="center"/>
          </w:tcPr>
          <w:p>
            <w:pPr>
              <w:pStyle w:val="TableContents"/>
              <w:bidi w:val="0"/>
              <w:spacing w:before="0" w:after="283"/>
              <w:jc w:val="center"/>
              <w:rPr>
                <w:rFonts w:ascii="Times New Roman;Times;Serif" w:hAnsi="Times New Roman;Times;Serif"/>
                <w:sz w:val="20"/>
              </w:rPr>
            </w:pPr>
            <w:bookmarkStart w:id="18" w:name="xdx_908_edei--TradingSymbol_c20240101__2"/>
            <w:bookmarkEnd w:id="18"/>
            <w:r>
              <w:rPr>
                <w:rFonts w:ascii="Times New Roman;Times;Serif" w:hAnsi="Times New Roman;Times;Serif"/>
                <w:sz w:val="20"/>
              </w:rPr>
              <w:t>CNSP</w:t>
            </w:r>
          </w:p>
        </w:tc>
        <w:tc>
          <w:tcPr>
            <w:tcW w:w="3770"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 xml:space="preserve">The </w:t>
            </w:r>
            <w:bookmarkStart w:id="19" w:name="xdx_90F_edei--SecurityExchangeName_c2024"/>
            <w:bookmarkEnd w:id="19"/>
            <w:r>
              <w:rPr>
                <w:rFonts w:ascii="Times New Roman;Times;Serif" w:hAnsi="Times New Roman;Times;Serif"/>
                <w:sz w:val="20"/>
              </w:rPr>
              <w:t>NASDAQ Stock Market LLC</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(1)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bookmarkStart w:id="20" w:name="xdx_908_edei--EntityCurrentReportingStat"/>
      <w:bookmarkEnd w:id="20"/>
      <w:r>
        <w:rPr>
          <w:rFonts w:ascii="Times New Roman;Times;Serif" w:hAnsi="Times New Roman;Times;Serif"/>
          <w:b w:val="false"/>
          <w:i w:val="false"/>
          <w:caps w:val="false"/>
          <w:smallCaps w:val="false"/>
          <w:sz w:val="20"/>
        </w:rPr>
        <w:t>Yes ☒     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1" w:name="xdx_901_edei--EntityInteractiveDataCurre"/>
      <w:bookmarkEnd w:id="21"/>
      <w:r>
        <w:rPr>
          <w:rFonts w:ascii="Times New Roman;Times;Serif" w:hAnsi="Times New Roman;Times;Serif"/>
          <w:b w:val="false"/>
          <w:i w:val="false"/>
          <w:caps w:val="false"/>
          <w:smallCaps w:val="false"/>
          <w:sz w:val="20"/>
        </w:rPr>
        <w:t>Yes ☒     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pStyle w:val="TextBody"/>
        <w:bidi w:val="0"/>
        <w:spacing w:before="0" w:after="0"/>
        <w:ind w:left="0" w:right="0" w:hanging="0"/>
        <w:jc w:val="left"/>
        <w:rPr>
          <w:caps w:val="false"/>
          <w:smallCaps w:val="false"/>
        </w:rPr>
      </w:pPr>
      <w:r>
        <w:rPr>
          <w:caps w:val="false"/>
          <w:smallCaps w:val="false"/>
        </w:rPr>
        <w:t> </w:t>
      </w:r>
    </w:p>
    <w:tbl>
      <w:tblPr>
        <w:tblW w:w="5005" w:type="dxa"/>
        <w:jc w:val="left"/>
        <w:tblInd w:w="0" w:type="dxa"/>
        <w:tblLayout w:type="fixed"/>
        <w:tblCellMar>
          <w:top w:w="0" w:type="dxa"/>
          <w:left w:w="0" w:type="dxa"/>
          <w:bottom w:w="0" w:type="dxa"/>
          <w:right w:w="0" w:type="dxa"/>
        </w:tblCellMar>
      </w:tblPr>
      <w:tblGrid>
        <w:gridCol w:w="2540"/>
        <w:gridCol w:w="2465"/>
      </w:tblGrid>
      <w:tr>
        <w:trPr/>
        <w:tc>
          <w:tcPr>
            <w:tcW w:w="25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Large accelerated Filer ☐</w:t>
            </w:r>
          </w:p>
        </w:tc>
        <w:tc>
          <w:tcPr>
            <w:tcW w:w="246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Accelerated Filer ☐</w:t>
            </w:r>
          </w:p>
        </w:tc>
      </w:tr>
      <w:tr>
        <w:trPr/>
        <w:tc>
          <w:tcPr>
            <w:tcW w:w="2540" w:type="dxa"/>
            <w:tcBorders/>
            <w:vAlign w:val="center"/>
          </w:tcPr>
          <w:p>
            <w:pPr>
              <w:pStyle w:val="TableContents"/>
              <w:bidi w:val="0"/>
              <w:spacing w:before="0" w:after="283"/>
              <w:jc w:val="left"/>
              <w:rPr>
                <w:rFonts w:ascii="Times New Roman;Times;Serif" w:hAnsi="Times New Roman;Times;Serif"/>
                <w:sz w:val="20"/>
              </w:rPr>
            </w:pPr>
            <w:bookmarkStart w:id="22" w:name="xdx_909_edei--EntityFilerCategory_c20240"/>
            <w:bookmarkEnd w:id="22"/>
            <w:r>
              <w:rPr>
                <w:rFonts w:ascii="Times New Roman;Times;Serif" w:hAnsi="Times New Roman;Times;Serif"/>
                <w:sz w:val="20"/>
              </w:rPr>
              <w:t>Non-accelerated Filer ☒</w:t>
            </w:r>
          </w:p>
        </w:tc>
        <w:tc>
          <w:tcPr>
            <w:tcW w:w="246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Smaller reporting company </w:t>
            </w:r>
            <w:bookmarkStart w:id="23" w:name="xdx_90C_edei--EntitySmallBusiness_c20240"/>
            <w:bookmarkEnd w:id="23"/>
            <w:r>
              <w:rPr>
                <w:rFonts w:ascii="Times New Roman;Times;Serif" w:hAnsi="Times New Roman;Times;Serif"/>
                <w:sz w:val="20"/>
              </w:rPr>
              <w:t>☒</w:t>
            </w:r>
          </w:p>
        </w:tc>
      </w:tr>
      <w:tr>
        <w:trPr/>
        <w:tc>
          <w:tcPr>
            <w:tcW w:w="25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Emerging Growth Company </w:t>
            </w:r>
            <w:bookmarkStart w:id="24" w:name="xdx_90A_edei--EntityEmergingGrowthCompan"/>
            <w:bookmarkEnd w:id="24"/>
            <w:r>
              <w:rPr>
                <w:rFonts w:ascii="Times New Roman;Times;Serif" w:hAnsi="Times New Roman;Times;Serif"/>
                <w:sz w:val="20"/>
              </w:rPr>
              <w:t>☒</w:t>
            </w:r>
          </w:p>
        </w:tc>
        <w:tc>
          <w:tcPr>
            <w:tcW w:w="2465" w:type="dxa"/>
            <w:tcBorders/>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bookmarkStart w:id="25" w:name="xdx_901_edei--EntityExTransitionPeriod_c"/>
      <w:bookmarkEnd w:id="25"/>
      <w:r>
        <w:rPr>
          <w:rFonts w:ascii="Times New Roman;Times;Serif" w:hAnsi="Times New Roman;Times;Serif"/>
          <w:b w:val="false"/>
          <w:i w:val="false"/>
          <w:caps w:val="false"/>
          <w:smallCaps w:val="false"/>
          <w:sz w:val="20"/>
        </w:rPr>
        <w: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is a shell company (as defined in Rule 12b-2 of the Exchange Act). Yes ☐    No </w:t>
      </w:r>
      <w:bookmarkStart w:id="26" w:name="xdx_903_edei--EntityShellCompany_dbF_c20"/>
      <w:bookmarkEnd w:id="26"/>
      <w:r>
        <w:rPr>
          <w:rFonts w:ascii="Times New Roman;Times;Serif" w:hAnsi="Times New Roman;Times;Serif"/>
          <w:b w:val="false"/>
          <w:i w:val="false"/>
          <w:caps w:val="false"/>
          <w:smallCaps w:val="false"/>
          <w:sz w:val="20"/>
        </w:rPr>
        <w: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number of shares outstanding of the registrant’s common stock, par value $0.001 per share, as of August 14, 2024 was </w:t>
      </w:r>
      <w:bookmarkStart w:id="27" w:name="xdx_90D_edei--EntityCommonStockSharesOut"/>
      <w:bookmarkEnd w:id="27"/>
      <w:r>
        <w:rPr>
          <w:rFonts w:ascii="Times New Roman;Times;Serif" w:hAnsi="Times New Roman;Times;Serif"/>
          <w:b w:val="false"/>
          <w:i w:val="false"/>
          <w:caps w:val="false"/>
          <w:smallCaps w:val="false"/>
          <w:sz w:val="20"/>
        </w:rPr>
        <w:t>32,146,403.</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tbl>
      <w:tblPr>
        <w:tblW w:w="210" w:type="dxa"/>
        <w:jc w:val="left"/>
        <w:tblInd w:w="0" w:type="dxa"/>
        <w:tblLayout w:type="fixed"/>
        <w:tblCellMar>
          <w:top w:w="0" w:type="dxa"/>
          <w:left w:w="0" w:type="dxa"/>
          <w:bottom w:w="0" w:type="dxa"/>
          <w:right w:w="0" w:type="dxa"/>
        </w:tblCellMar>
      </w:tblPr>
      <w:tblGrid>
        <w:gridCol w:w="75"/>
        <w:gridCol w:w="60"/>
        <w:gridCol w:w="75"/>
      </w:tblGrid>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28" w:name="q2_001"/>
      <w:bookmarkEnd w:id="28"/>
      <w:r>
        <w:rPr>
          <w:rFonts w:ascii="Times New Roman;Times;Serif" w:hAnsi="Times New Roman;Times;Serif"/>
          <w:b/>
          <w:i w:val="false"/>
          <w:caps w:val="false"/>
          <w:smallCaps w:val="false"/>
          <w:sz w:val="20"/>
        </w:rPr>
        <w:t>TABLE OF CONTENTS</w:t>
      </w:r>
    </w:p>
    <w:p>
      <w:pPr>
        <w:pStyle w:val="TextBody"/>
        <w:bidi w:val="0"/>
        <w:spacing w:before="0" w:after="0"/>
        <w:ind w:left="0" w:right="0" w:hanging="0"/>
        <w:jc w:val="left"/>
        <w:rPr>
          <w:caps w:val="false"/>
          <w:smallCaps w:val="false"/>
        </w:rPr>
      </w:pPr>
      <w:r>
        <w:rPr>
          <w:caps w:val="false"/>
          <w:smallCaps w:val="false"/>
        </w:rPr>
        <w:t> </w:t>
      </w:r>
    </w:p>
    <w:tbl>
      <w:tblPr>
        <w:tblW w:w="9780" w:type="dxa"/>
        <w:jc w:val="left"/>
        <w:tblInd w:w="0" w:type="dxa"/>
        <w:tblLayout w:type="fixed"/>
        <w:tblCellMar>
          <w:top w:w="0" w:type="dxa"/>
          <w:left w:w="0" w:type="dxa"/>
          <w:bottom w:w="0" w:type="dxa"/>
          <w:right w:w="0" w:type="dxa"/>
        </w:tblCellMar>
      </w:tblPr>
      <w:tblGrid>
        <w:gridCol w:w="725"/>
        <w:gridCol w:w="8630"/>
        <w:gridCol w:w="425"/>
      </w:tblGrid>
      <w:tr>
        <w:trPr/>
        <w:tc>
          <w:tcPr>
            <w:tcW w:w="725" w:type="dxa"/>
            <w:tcBorders/>
            <w:vAlign w:val="center"/>
          </w:tcPr>
          <w:p>
            <w:pPr>
              <w:pStyle w:val="TableContents"/>
              <w:bidi w:val="0"/>
              <w:spacing w:before="0" w:after="283"/>
              <w:jc w:val="left"/>
              <w:rPr/>
            </w:pPr>
            <w:r>
              <w:rPr/>
              <w:t> </w:t>
            </w:r>
          </w:p>
        </w:tc>
        <w:tc>
          <w:tcPr>
            <w:tcW w:w="8630" w:type="dxa"/>
            <w:tcBorders/>
            <w:vAlign w:val="center"/>
          </w:tcPr>
          <w:p>
            <w:pPr>
              <w:pStyle w:val="TableContents"/>
              <w:bidi w:val="0"/>
              <w:spacing w:before="0" w:after="283"/>
              <w:jc w:val="left"/>
              <w:rPr/>
            </w:pPr>
            <w:r>
              <w:rPr/>
              <w:t> </w:t>
            </w:r>
          </w:p>
        </w:tc>
        <w:tc>
          <w:tcPr>
            <w:tcW w:w="42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Page</w:t>
            </w:r>
          </w:p>
        </w:tc>
      </w:tr>
      <w:tr>
        <w:trPr/>
        <w:tc>
          <w:tcPr>
            <w:tcW w:w="9355" w:type="dxa"/>
            <w:gridSpan w:val="2"/>
            <w:tcBorders/>
            <w:vAlign w:val="center"/>
          </w:tcPr>
          <w:p>
            <w:pPr>
              <w:pStyle w:val="TableContents"/>
              <w:bidi w:val="0"/>
              <w:spacing w:before="0" w:after="283"/>
              <w:jc w:val="left"/>
              <w:rPr/>
            </w:pPr>
            <w:hyperlink w:anchor="q2_002">
              <w:r>
                <w:rPr>
                  <w:rStyle w:val="InternetLink"/>
                  <w:rFonts w:ascii="Times New Roman;Times;Serif" w:hAnsi="Times New Roman;Times;Serif"/>
                  <w:sz w:val="20"/>
                </w:rPr>
                <w:t>PART I FINANCIAL INFORMATION</w:t>
              </w:r>
            </w:hyperlink>
          </w:p>
        </w:tc>
        <w:tc>
          <w:tcPr>
            <w:tcW w:w="425" w:type="dxa"/>
            <w:tcBorders/>
            <w:vAlign w:val="center"/>
          </w:tcPr>
          <w:p>
            <w:pPr>
              <w:pStyle w:val="TableContents"/>
              <w:bidi w:val="0"/>
              <w:spacing w:before="0" w:after="283"/>
              <w:jc w:val="left"/>
              <w:rPr/>
            </w:pPr>
            <w:r>
              <w:rPr/>
              <w:t> </w:t>
            </w:r>
          </w:p>
        </w:tc>
      </w:tr>
      <w:tr>
        <w:trPr/>
        <w:tc>
          <w:tcPr>
            <w:tcW w:w="725" w:type="dxa"/>
            <w:tcBorders/>
            <w:vAlign w:val="center"/>
          </w:tcPr>
          <w:p>
            <w:pPr>
              <w:pStyle w:val="TableContents"/>
              <w:bidi w:val="0"/>
              <w:spacing w:before="0" w:after="283"/>
              <w:jc w:val="left"/>
              <w:rPr/>
            </w:pPr>
            <w:r>
              <w:rPr/>
              <w:t> </w:t>
            </w:r>
          </w:p>
        </w:tc>
        <w:tc>
          <w:tcPr>
            <w:tcW w:w="8630" w:type="dxa"/>
            <w:tcBorders/>
            <w:vAlign w:val="center"/>
          </w:tcPr>
          <w:p>
            <w:pPr>
              <w:pStyle w:val="TableContents"/>
              <w:bidi w:val="0"/>
              <w:spacing w:before="0" w:after="283"/>
              <w:jc w:val="left"/>
              <w:rPr/>
            </w:pPr>
            <w:r>
              <w:rPr/>
              <w:t> </w:t>
            </w:r>
          </w:p>
        </w:tc>
        <w:tc>
          <w:tcPr>
            <w:tcW w:w="425" w:type="dxa"/>
            <w:tcBorders/>
            <w:vAlign w:val="center"/>
          </w:tcPr>
          <w:p>
            <w:pPr>
              <w:pStyle w:val="TableContents"/>
              <w:bidi w:val="0"/>
              <w:spacing w:before="0" w:after="283"/>
              <w:jc w:val="left"/>
              <w:rPr/>
            </w:pPr>
            <w:r>
              <w:rPr/>
              <w:t> </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w:t>
            </w:r>
          </w:p>
        </w:tc>
        <w:tc>
          <w:tcPr>
            <w:tcW w:w="8630" w:type="dxa"/>
            <w:tcBorders/>
            <w:vAlign w:val="center"/>
          </w:tcPr>
          <w:p>
            <w:pPr>
              <w:pStyle w:val="TableContents"/>
              <w:bidi w:val="0"/>
              <w:spacing w:before="0" w:after="283"/>
              <w:jc w:val="left"/>
              <w:rPr/>
            </w:pPr>
            <w:hyperlink w:anchor="q2_003">
              <w:r>
                <w:rPr>
                  <w:rStyle w:val="InternetLink"/>
                  <w:rFonts w:ascii="Times New Roman;Times;Serif" w:hAnsi="Times New Roman;Times;Serif"/>
                  <w:sz w:val="20"/>
                </w:rPr>
                <w:t>Financial Statements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w:t>
            </w:r>
          </w:p>
        </w:tc>
      </w:tr>
      <w:tr>
        <w:trPr/>
        <w:tc>
          <w:tcPr>
            <w:tcW w:w="725" w:type="dxa"/>
            <w:tcBorders/>
            <w:vAlign w:val="center"/>
          </w:tcPr>
          <w:p>
            <w:pPr>
              <w:pStyle w:val="TableContents"/>
              <w:bidi w:val="0"/>
              <w:spacing w:before="0" w:after="283"/>
              <w:jc w:val="left"/>
              <w:rPr/>
            </w:pPr>
            <w:r>
              <w:rPr/>
              <w:t> </w:t>
            </w:r>
          </w:p>
        </w:tc>
        <w:tc>
          <w:tcPr>
            <w:tcW w:w="8630" w:type="dxa"/>
            <w:tcBorders/>
            <w:vAlign w:val="center"/>
          </w:tcPr>
          <w:p>
            <w:pPr>
              <w:pStyle w:val="TableContents"/>
              <w:bidi w:val="0"/>
              <w:spacing w:before="0" w:after="283"/>
              <w:jc w:val="left"/>
              <w:rPr/>
            </w:pPr>
            <w:hyperlink w:anchor="q2_004">
              <w:r>
                <w:rPr>
                  <w:rStyle w:val="InternetLink"/>
                  <w:rFonts w:ascii="Times New Roman;Times;Serif" w:hAnsi="Times New Roman;Times;Serif"/>
                  <w:sz w:val="20"/>
                </w:rPr>
                <w:t>Balance Sheets as of June 30, 2024 and December 31, 2023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w:t>
            </w:r>
          </w:p>
        </w:tc>
      </w:tr>
      <w:tr>
        <w:trPr/>
        <w:tc>
          <w:tcPr>
            <w:tcW w:w="725" w:type="dxa"/>
            <w:tcBorders/>
            <w:vAlign w:val="center"/>
          </w:tcPr>
          <w:p>
            <w:pPr>
              <w:pStyle w:val="TableContents"/>
              <w:bidi w:val="0"/>
              <w:spacing w:before="0" w:after="283"/>
              <w:jc w:val="left"/>
              <w:rPr/>
            </w:pPr>
            <w:r>
              <w:rPr/>
              <w:t> </w:t>
            </w:r>
          </w:p>
        </w:tc>
        <w:tc>
          <w:tcPr>
            <w:tcW w:w="8630" w:type="dxa"/>
            <w:tcBorders/>
            <w:vAlign w:val="center"/>
          </w:tcPr>
          <w:p>
            <w:pPr>
              <w:pStyle w:val="TableContents"/>
              <w:bidi w:val="0"/>
              <w:spacing w:before="0" w:after="283"/>
              <w:jc w:val="left"/>
              <w:rPr/>
            </w:pPr>
            <w:hyperlink w:anchor="q2_005">
              <w:r>
                <w:rPr>
                  <w:rStyle w:val="InternetLink"/>
                  <w:rFonts w:ascii="Times New Roman;Times;Serif" w:hAnsi="Times New Roman;Times;Serif"/>
                  <w:sz w:val="20"/>
                </w:rPr>
                <w:t>Statements of Operations for the three and six months ended June 30, 2024 and 2023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w:t>
            </w:r>
          </w:p>
        </w:tc>
      </w:tr>
      <w:tr>
        <w:trPr/>
        <w:tc>
          <w:tcPr>
            <w:tcW w:w="725" w:type="dxa"/>
            <w:tcBorders/>
            <w:vAlign w:val="center"/>
          </w:tcPr>
          <w:p>
            <w:pPr>
              <w:pStyle w:val="TableContents"/>
              <w:bidi w:val="0"/>
              <w:spacing w:before="0" w:after="283"/>
              <w:jc w:val="left"/>
              <w:rPr/>
            </w:pPr>
            <w:r>
              <w:rPr/>
              <w:t> </w:t>
            </w:r>
          </w:p>
        </w:tc>
        <w:tc>
          <w:tcPr>
            <w:tcW w:w="8630" w:type="dxa"/>
            <w:tcBorders/>
            <w:vAlign w:val="center"/>
          </w:tcPr>
          <w:p>
            <w:pPr>
              <w:pStyle w:val="TableContents"/>
              <w:bidi w:val="0"/>
              <w:spacing w:before="0" w:after="283"/>
              <w:jc w:val="left"/>
              <w:rPr/>
            </w:pPr>
            <w:hyperlink w:anchor="q2_006">
              <w:r>
                <w:rPr>
                  <w:rStyle w:val="InternetLink"/>
                  <w:rFonts w:ascii="Times New Roman;Times;Serif" w:hAnsi="Times New Roman;Times;Serif"/>
                  <w:sz w:val="20"/>
                </w:rPr>
                <w:t>Statements of Stockholders’ Equity (Deficit) for the six months ended June 30, 2024 and 2023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w:t>
            </w:r>
          </w:p>
        </w:tc>
      </w:tr>
      <w:tr>
        <w:trPr/>
        <w:tc>
          <w:tcPr>
            <w:tcW w:w="725" w:type="dxa"/>
            <w:tcBorders/>
            <w:vAlign w:val="center"/>
          </w:tcPr>
          <w:p>
            <w:pPr>
              <w:pStyle w:val="TableContents"/>
              <w:bidi w:val="0"/>
              <w:spacing w:before="0" w:after="283"/>
              <w:jc w:val="left"/>
              <w:rPr/>
            </w:pPr>
            <w:r>
              <w:rPr/>
              <w:t> </w:t>
            </w:r>
          </w:p>
        </w:tc>
        <w:tc>
          <w:tcPr>
            <w:tcW w:w="8630" w:type="dxa"/>
            <w:tcBorders/>
            <w:vAlign w:val="center"/>
          </w:tcPr>
          <w:p>
            <w:pPr>
              <w:pStyle w:val="TableContents"/>
              <w:bidi w:val="0"/>
              <w:spacing w:before="0" w:after="283"/>
              <w:jc w:val="left"/>
              <w:rPr/>
            </w:pPr>
            <w:hyperlink w:anchor="q2_007">
              <w:r>
                <w:rPr>
                  <w:rStyle w:val="InternetLink"/>
                  <w:rFonts w:ascii="Times New Roman;Times;Serif" w:hAnsi="Times New Roman;Times;Serif"/>
                  <w:sz w:val="20"/>
                </w:rPr>
                <w:t>Statements of Cash Flows for the six months ended June 30, 2024 and 2023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6</w:t>
            </w:r>
          </w:p>
        </w:tc>
      </w:tr>
      <w:tr>
        <w:trPr/>
        <w:tc>
          <w:tcPr>
            <w:tcW w:w="725" w:type="dxa"/>
            <w:tcBorders/>
            <w:vAlign w:val="center"/>
          </w:tcPr>
          <w:p>
            <w:pPr>
              <w:pStyle w:val="TableContents"/>
              <w:bidi w:val="0"/>
              <w:spacing w:before="0" w:after="283"/>
              <w:jc w:val="left"/>
              <w:rPr/>
            </w:pPr>
            <w:r>
              <w:rPr/>
              <w:t> </w:t>
            </w:r>
          </w:p>
        </w:tc>
        <w:tc>
          <w:tcPr>
            <w:tcW w:w="8630" w:type="dxa"/>
            <w:tcBorders/>
            <w:vAlign w:val="center"/>
          </w:tcPr>
          <w:p>
            <w:pPr>
              <w:pStyle w:val="TableContents"/>
              <w:bidi w:val="0"/>
              <w:spacing w:before="0" w:after="283"/>
              <w:jc w:val="left"/>
              <w:rPr/>
            </w:pPr>
            <w:hyperlink w:anchor="q2_008">
              <w:r>
                <w:rPr>
                  <w:rStyle w:val="InternetLink"/>
                  <w:rFonts w:ascii="Times New Roman;Times;Serif" w:hAnsi="Times New Roman;Times;Serif"/>
                  <w:sz w:val="20"/>
                </w:rPr>
                <w:t>Notes to the Financial Statements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7</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2.</w:t>
            </w:r>
          </w:p>
        </w:tc>
        <w:tc>
          <w:tcPr>
            <w:tcW w:w="8630" w:type="dxa"/>
            <w:tcBorders/>
            <w:vAlign w:val="center"/>
          </w:tcPr>
          <w:p>
            <w:pPr>
              <w:pStyle w:val="TableContents"/>
              <w:bidi w:val="0"/>
              <w:spacing w:before="0" w:after="283"/>
              <w:jc w:val="left"/>
              <w:rPr/>
            </w:pPr>
            <w:hyperlink w:anchor="q2_009">
              <w:r>
                <w:rPr>
                  <w:rStyle w:val="InternetLink"/>
                  <w:rFonts w:ascii="Times New Roman;Times;Serif" w:hAnsi="Times New Roman;Times;Serif"/>
                  <w:sz w:val="20"/>
                </w:rPr>
                <w:t>Management's Discussion and Analysis of Financial Condition and Results of Operations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17</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3.</w:t>
            </w:r>
          </w:p>
        </w:tc>
        <w:tc>
          <w:tcPr>
            <w:tcW w:w="8630" w:type="dxa"/>
            <w:tcBorders/>
            <w:vAlign w:val="center"/>
          </w:tcPr>
          <w:p>
            <w:pPr>
              <w:pStyle w:val="TableContents"/>
              <w:bidi w:val="0"/>
              <w:spacing w:before="0" w:after="283"/>
              <w:jc w:val="left"/>
              <w:rPr/>
            </w:pPr>
            <w:hyperlink w:anchor="q2_010">
              <w:r>
                <w:rPr>
                  <w:rStyle w:val="InternetLink"/>
                  <w:rFonts w:ascii="Times New Roman;Times;Serif" w:hAnsi="Times New Roman;Times;Serif"/>
                  <w:sz w:val="20"/>
                </w:rPr>
                <w:t>Quantitative and Qualitative Disclosures About Market Risk</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4.</w:t>
            </w:r>
          </w:p>
        </w:tc>
        <w:tc>
          <w:tcPr>
            <w:tcW w:w="8630" w:type="dxa"/>
            <w:tcBorders/>
            <w:vAlign w:val="center"/>
          </w:tcPr>
          <w:p>
            <w:pPr>
              <w:pStyle w:val="TableContents"/>
              <w:bidi w:val="0"/>
              <w:spacing w:before="0" w:after="283"/>
              <w:jc w:val="left"/>
              <w:rPr/>
            </w:pPr>
            <w:hyperlink w:anchor="q2_011">
              <w:r>
                <w:rPr>
                  <w:rStyle w:val="InternetLink"/>
                  <w:rFonts w:ascii="Times New Roman;Times;Serif" w:hAnsi="Times New Roman;Times;Serif"/>
                  <w:sz w:val="20"/>
                </w:rPr>
                <w:t>Controls and Procedures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w:t>
            </w:r>
          </w:p>
        </w:tc>
      </w:tr>
      <w:tr>
        <w:trPr/>
        <w:tc>
          <w:tcPr>
            <w:tcW w:w="725" w:type="dxa"/>
            <w:tcBorders/>
            <w:vAlign w:val="center"/>
          </w:tcPr>
          <w:p>
            <w:pPr>
              <w:pStyle w:val="TableContents"/>
              <w:bidi w:val="0"/>
              <w:spacing w:before="0" w:after="283"/>
              <w:jc w:val="left"/>
              <w:rPr/>
            </w:pPr>
            <w:r>
              <w:rPr/>
              <w:t> </w:t>
            </w:r>
          </w:p>
        </w:tc>
        <w:tc>
          <w:tcPr>
            <w:tcW w:w="8630" w:type="dxa"/>
            <w:tcBorders/>
            <w:vAlign w:val="center"/>
          </w:tcPr>
          <w:p>
            <w:pPr>
              <w:pStyle w:val="TableContents"/>
              <w:bidi w:val="0"/>
              <w:spacing w:before="0" w:after="283"/>
              <w:jc w:val="left"/>
              <w:rPr/>
            </w:pPr>
            <w:r>
              <w:rPr/>
              <w:t> </w:t>
            </w:r>
          </w:p>
        </w:tc>
        <w:tc>
          <w:tcPr>
            <w:tcW w:w="425" w:type="dxa"/>
            <w:tcBorders/>
            <w:vAlign w:val="center"/>
          </w:tcPr>
          <w:p>
            <w:pPr>
              <w:pStyle w:val="TableContents"/>
              <w:bidi w:val="0"/>
              <w:spacing w:before="0" w:after="283"/>
              <w:jc w:val="left"/>
              <w:rPr/>
            </w:pPr>
            <w:r>
              <w:rPr/>
              <w:t> </w:t>
            </w:r>
          </w:p>
        </w:tc>
      </w:tr>
      <w:tr>
        <w:trPr/>
        <w:tc>
          <w:tcPr>
            <w:tcW w:w="9355" w:type="dxa"/>
            <w:gridSpan w:val="2"/>
            <w:tcBorders/>
            <w:vAlign w:val="center"/>
          </w:tcPr>
          <w:p>
            <w:pPr>
              <w:pStyle w:val="TableContents"/>
              <w:bidi w:val="0"/>
              <w:spacing w:before="0" w:after="283"/>
              <w:jc w:val="left"/>
              <w:rPr/>
            </w:pPr>
            <w:hyperlink w:anchor="q2_012">
              <w:r>
                <w:rPr>
                  <w:rStyle w:val="InternetLink"/>
                  <w:rFonts w:ascii="Times New Roman;Times;Serif" w:hAnsi="Times New Roman;Times;Serif"/>
                  <w:sz w:val="20"/>
                </w:rPr>
                <w:t>PART II OTHER INFORMATION</w:t>
              </w:r>
            </w:hyperlink>
          </w:p>
        </w:tc>
        <w:tc>
          <w:tcPr>
            <w:tcW w:w="425" w:type="dxa"/>
            <w:tcBorders/>
            <w:vAlign w:val="center"/>
          </w:tcPr>
          <w:p>
            <w:pPr>
              <w:pStyle w:val="TableContents"/>
              <w:bidi w:val="0"/>
              <w:spacing w:before="0" w:after="283"/>
              <w:jc w:val="right"/>
              <w:rPr/>
            </w:pPr>
            <w:r>
              <w:rPr/>
              <w:t> </w:t>
            </w:r>
          </w:p>
        </w:tc>
      </w:tr>
      <w:tr>
        <w:trPr/>
        <w:tc>
          <w:tcPr>
            <w:tcW w:w="725" w:type="dxa"/>
            <w:tcBorders/>
            <w:vAlign w:val="center"/>
          </w:tcPr>
          <w:p>
            <w:pPr>
              <w:pStyle w:val="TableContents"/>
              <w:bidi w:val="0"/>
              <w:spacing w:before="0" w:after="283"/>
              <w:jc w:val="left"/>
              <w:rPr/>
            </w:pPr>
            <w:r>
              <w:rPr/>
              <w:t> </w:t>
            </w:r>
          </w:p>
        </w:tc>
        <w:tc>
          <w:tcPr>
            <w:tcW w:w="8630" w:type="dxa"/>
            <w:tcBorders/>
            <w:vAlign w:val="center"/>
          </w:tcPr>
          <w:p>
            <w:pPr>
              <w:pStyle w:val="TableContents"/>
              <w:bidi w:val="0"/>
              <w:spacing w:before="0" w:after="283"/>
              <w:jc w:val="left"/>
              <w:rPr/>
            </w:pPr>
            <w:r>
              <w:rPr/>
              <w:t> </w:t>
            </w:r>
          </w:p>
        </w:tc>
        <w:tc>
          <w:tcPr>
            <w:tcW w:w="425" w:type="dxa"/>
            <w:tcBorders/>
            <w:vAlign w:val="center"/>
          </w:tcPr>
          <w:p>
            <w:pPr>
              <w:pStyle w:val="TableContents"/>
              <w:bidi w:val="0"/>
              <w:spacing w:before="0" w:after="283"/>
              <w:jc w:val="left"/>
              <w:rPr/>
            </w:pPr>
            <w:r>
              <w:rPr/>
              <w:t> </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w:t>
            </w:r>
          </w:p>
        </w:tc>
        <w:tc>
          <w:tcPr>
            <w:tcW w:w="8630" w:type="dxa"/>
            <w:tcBorders/>
            <w:vAlign w:val="center"/>
          </w:tcPr>
          <w:p>
            <w:pPr>
              <w:pStyle w:val="TableContents"/>
              <w:bidi w:val="0"/>
              <w:spacing w:before="0" w:after="283"/>
              <w:jc w:val="left"/>
              <w:rPr/>
            </w:pPr>
            <w:hyperlink w:anchor="q2_013">
              <w:r>
                <w:rPr>
                  <w:rStyle w:val="InternetLink"/>
                  <w:rFonts w:ascii="Times New Roman;Times;Serif" w:hAnsi="Times New Roman;Times;Serif"/>
                  <w:sz w:val="20"/>
                </w:rPr>
                <w:t>Legal Proceedings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25</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1A.</w:t>
            </w:r>
          </w:p>
        </w:tc>
        <w:tc>
          <w:tcPr>
            <w:tcW w:w="8630" w:type="dxa"/>
            <w:tcBorders/>
            <w:vAlign w:val="center"/>
          </w:tcPr>
          <w:p>
            <w:pPr>
              <w:pStyle w:val="TableContents"/>
              <w:bidi w:val="0"/>
              <w:spacing w:before="0" w:after="283"/>
              <w:jc w:val="left"/>
              <w:rPr/>
            </w:pPr>
            <w:hyperlink w:anchor="q2_014">
              <w:r>
                <w:rPr>
                  <w:rStyle w:val="InternetLink"/>
                  <w:rFonts w:ascii="Times New Roman;Times;Serif" w:hAnsi="Times New Roman;Times;Serif"/>
                  <w:sz w:val="20"/>
                </w:rPr>
                <w:t>Risk Factors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25</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2.</w:t>
            </w:r>
          </w:p>
        </w:tc>
        <w:tc>
          <w:tcPr>
            <w:tcW w:w="8630" w:type="dxa"/>
            <w:tcBorders/>
            <w:vAlign w:val="center"/>
          </w:tcPr>
          <w:p>
            <w:pPr>
              <w:pStyle w:val="TableContents"/>
              <w:bidi w:val="0"/>
              <w:spacing w:before="0" w:after="283"/>
              <w:jc w:val="left"/>
              <w:rPr/>
            </w:pPr>
            <w:hyperlink w:anchor="q2_015">
              <w:r>
                <w:rPr>
                  <w:rStyle w:val="InternetLink"/>
                  <w:rFonts w:ascii="Times New Roman;Times;Serif" w:hAnsi="Times New Roman;Times;Serif"/>
                  <w:sz w:val="20"/>
                </w:rPr>
                <w:t>Unregistered Sales of Equity Securities and Use of Proceeds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26</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3.</w:t>
            </w:r>
          </w:p>
        </w:tc>
        <w:tc>
          <w:tcPr>
            <w:tcW w:w="8630" w:type="dxa"/>
            <w:tcBorders/>
            <w:vAlign w:val="center"/>
          </w:tcPr>
          <w:p>
            <w:pPr>
              <w:pStyle w:val="TableContents"/>
              <w:bidi w:val="0"/>
              <w:spacing w:before="0" w:after="283"/>
              <w:jc w:val="left"/>
              <w:rPr/>
            </w:pPr>
            <w:hyperlink w:anchor="q2_016">
              <w:r>
                <w:rPr>
                  <w:rStyle w:val="InternetLink"/>
                  <w:rFonts w:ascii="Times New Roman;Times;Serif" w:hAnsi="Times New Roman;Times;Serif"/>
                  <w:sz w:val="20"/>
                </w:rPr>
                <w:t>Defaults Upon Senior Securities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26</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4.</w:t>
            </w:r>
          </w:p>
        </w:tc>
        <w:tc>
          <w:tcPr>
            <w:tcW w:w="8630" w:type="dxa"/>
            <w:tcBorders/>
            <w:vAlign w:val="center"/>
          </w:tcPr>
          <w:p>
            <w:pPr>
              <w:pStyle w:val="TableContents"/>
              <w:bidi w:val="0"/>
              <w:spacing w:before="0" w:after="283"/>
              <w:jc w:val="left"/>
              <w:rPr/>
            </w:pPr>
            <w:hyperlink w:anchor="q2_017">
              <w:r>
                <w:rPr>
                  <w:rStyle w:val="InternetLink"/>
                  <w:rFonts w:ascii="Times New Roman;Times;Serif" w:hAnsi="Times New Roman;Times;Serif"/>
                  <w:sz w:val="20"/>
                </w:rPr>
                <w:t>Mine Safety Disclosures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26</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5.</w:t>
            </w:r>
          </w:p>
        </w:tc>
        <w:tc>
          <w:tcPr>
            <w:tcW w:w="8630" w:type="dxa"/>
            <w:tcBorders/>
            <w:vAlign w:val="center"/>
          </w:tcPr>
          <w:p>
            <w:pPr>
              <w:pStyle w:val="TableContents"/>
              <w:bidi w:val="0"/>
              <w:spacing w:before="0" w:after="283"/>
              <w:jc w:val="left"/>
              <w:rPr/>
            </w:pPr>
            <w:hyperlink w:anchor="q2_018">
              <w:r>
                <w:rPr>
                  <w:rStyle w:val="InternetLink"/>
                  <w:rFonts w:ascii="Times New Roman;Times;Serif" w:hAnsi="Times New Roman;Times;Serif"/>
                  <w:sz w:val="20"/>
                </w:rPr>
                <w:t>Other Information</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26</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6.</w:t>
            </w:r>
          </w:p>
        </w:tc>
        <w:tc>
          <w:tcPr>
            <w:tcW w:w="8630" w:type="dxa"/>
            <w:tcBorders/>
            <w:vAlign w:val="center"/>
          </w:tcPr>
          <w:p>
            <w:pPr>
              <w:pStyle w:val="TableContents"/>
              <w:bidi w:val="0"/>
              <w:spacing w:before="0" w:after="283"/>
              <w:jc w:val="left"/>
              <w:rPr/>
            </w:pPr>
            <w:hyperlink w:anchor="q2_019">
              <w:r>
                <w:rPr>
                  <w:rStyle w:val="InternetLink"/>
                  <w:rFonts w:ascii="Times New Roman;Times;Serif" w:hAnsi="Times New Roman;Times;Serif"/>
                  <w:sz w:val="20"/>
                </w:rPr>
                <w:t>Exhibits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26</w:t>
            </w:r>
          </w:p>
        </w:tc>
      </w:tr>
      <w:tr>
        <w:trPr/>
        <w:tc>
          <w:tcPr>
            <w:tcW w:w="9355" w:type="dxa"/>
            <w:gridSpan w:val="2"/>
            <w:tcBorders/>
            <w:vAlign w:val="center"/>
          </w:tcPr>
          <w:p>
            <w:pPr>
              <w:pStyle w:val="TableContents"/>
              <w:bidi w:val="0"/>
              <w:spacing w:before="0" w:after="283"/>
              <w:jc w:val="left"/>
              <w:rPr/>
            </w:pPr>
            <w:hyperlink w:anchor="q2_020">
              <w:r>
                <w:rPr>
                  <w:rStyle w:val="InternetLink"/>
                  <w:rFonts w:ascii="Times New Roman;Times;Serif" w:hAnsi="Times New Roman;Times;Serif"/>
                  <w:sz w:val="20"/>
                </w:rPr>
                <w:t>Signatures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28</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9" w:name="q2_002"/>
      <w:bookmarkEnd w:id="29"/>
      <w:r>
        <w:rPr>
          <w:rFonts w:ascii="Times New Roman;Times;Serif" w:hAnsi="Times New Roman;Times;Serif"/>
          <w:b/>
          <w:i w:val="false"/>
          <w:caps w:val="false"/>
          <w:smallCaps w:val="false"/>
          <w:sz w:val="20"/>
        </w:rPr>
        <w:t>PART I - FINANCIAL INFORMATION</w:t>
      </w:r>
    </w:p>
    <w:p>
      <w:pPr>
        <w:pStyle w:val="TextBody"/>
        <w:bidi w:val="0"/>
        <w:spacing w:before="0" w:after="0"/>
        <w:ind w:left="0" w:right="0" w:hanging="0"/>
        <w:jc w:val="left"/>
        <w:rPr>
          <w:caps w:val="false"/>
          <w:smallCaps w:val="false"/>
        </w:rPr>
      </w:pPr>
      <w:r>
        <w:rPr>
          <w:caps w:val="false"/>
          <w:smallCaps w:val="false"/>
        </w:rPr>
        <w:t> </w:t>
      </w:r>
    </w:p>
    <w:tbl>
      <w:tblPr>
        <w:tblW w:w="3250" w:type="dxa"/>
        <w:jc w:val="left"/>
        <w:tblInd w:w="0" w:type="dxa"/>
        <w:tblLayout w:type="fixed"/>
        <w:tblCellMar>
          <w:top w:w="0" w:type="dxa"/>
          <w:left w:w="0" w:type="dxa"/>
          <w:bottom w:w="0" w:type="dxa"/>
          <w:right w:w="0" w:type="dxa"/>
        </w:tblCellMar>
      </w:tblPr>
      <w:tblGrid>
        <w:gridCol w:w="755"/>
        <w:gridCol w:w="2495"/>
      </w:tblGrid>
      <w:tr>
        <w:trPr/>
        <w:tc>
          <w:tcPr>
            <w:tcW w:w="75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1.</w:t>
            </w:r>
          </w:p>
        </w:tc>
        <w:tc>
          <w:tcPr>
            <w:tcW w:w="2495" w:type="dxa"/>
            <w:tcBorders/>
            <w:vAlign w:val="center"/>
          </w:tcPr>
          <w:p>
            <w:pPr>
              <w:pStyle w:val="TableContents"/>
              <w:bidi w:val="0"/>
              <w:spacing w:before="0" w:after="283"/>
              <w:jc w:val="left"/>
              <w:rPr>
                <w:rFonts w:ascii="Times New Roman;Times;Serif" w:hAnsi="Times New Roman;Times;Serif"/>
                <w:b/>
                <w:sz w:val="20"/>
              </w:rPr>
            </w:pPr>
            <w:bookmarkStart w:id="30" w:name="q2_003"/>
            <w:bookmarkEnd w:id="30"/>
            <w:r>
              <w:rPr>
                <w:rFonts w:ascii="Times New Roman;Times;Serif" w:hAnsi="Times New Roman;Times;Serif"/>
                <w:b/>
                <w:sz w:val="20"/>
              </w:rPr>
              <w:t>FINANCIAL STATEMENTS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jc w:val="center"/>
        <w:rPr>
          <w:rFonts w:ascii="Times New Roman;Times;Serif" w:hAnsi="Times New Roman;Times;Serif"/>
          <w:b/>
          <w:i w:val="false"/>
          <w:caps w:val="false"/>
          <w:smallCaps w:val="false"/>
          <w:sz w:val="20"/>
        </w:rPr>
      </w:pPr>
      <w:bookmarkStart w:id="31" w:name="q2_004"/>
      <w:bookmarkEnd w:id="31"/>
      <w:r>
        <w:rPr>
          <w:rFonts w:ascii="Times New Roman;Times;Serif" w:hAnsi="Times New Roman;Times;Serif"/>
          <w:b/>
          <w:i w:val="false"/>
          <w:caps w:val="false"/>
          <w:smallCaps w:val="false"/>
          <w:sz w:val="20"/>
        </w:rPr>
        <w:t>Balance Sheets</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jc w:val="center"/>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32" w:name="xdx_308_111_zTStqJR9dxgc"/>
      <w:bookmarkStart w:id="33" w:name="xdx_308_111_zTStqJR9dxgc"/>
      <w:bookmarkEnd w:id="33"/>
    </w:p>
    <w:tbl>
      <w:tblPr>
        <w:tblW w:w="10205" w:type="dxa"/>
        <w:jc w:val="left"/>
        <w:tblInd w:w="0" w:type="dxa"/>
        <w:tblLayout w:type="fixed"/>
        <w:tblCellMar>
          <w:top w:w="0" w:type="dxa"/>
          <w:left w:w="0" w:type="dxa"/>
          <w:bottom w:w="0" w:type="dxa"/>
          <w:right w:w="0" w:type="dxa"/>
        </w:tblCellMar>
      </w:tblPr>
      <w:tblGrid>
        <w:gridCol w:w="7247"/>
        <w:gridCol w:w="60"/>
        <w:gridCol w:w="140"/>
        <w:gridCol w:w="1175"/>
        <w:gridCol w:w="95"/>
        <w:gridCol w:w="60"/>
        <w:gridCol w:w="140"/>
        <w:gridCol w:w="1177"/>
        <w:gridCol w:w="111"/>
      </w:tblGrid>
      <w:tr>
        <w:trPr/>
        <w:tc>
          <w:tcPr>
            <w:tcW w:w="7247"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left"/>
              <w:rPr/>
            </w:pPr>
            <w:r>
              <w:rPr/>
              <w:t> </w:t>
            </w:r>
            <w:bookmarkStart w:id="34" w:name="xdx_492_20240630"/>
            <w:bookmarkEnd w:id="34"/>
          </w:p>
        </w:tc>
        <w:tc>
          <w:tcPr>
            <w:tcW w:w="1175" w:type="dxa"/>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left"/>
              <w:rPr/>
            </w:pPr>
            <w:r>
              <w:rPr/>
              <w:t> </w:t>
            </w:r>
            <w:bookmarkStart w:id="35" w:name="xdx_497_20231231"/>
            <w:bookmarkEnd w:id="35"/>
          </w:p>
        </w:tc>
        <w:tc>
          <w:tcPr>
            <w:tcW w:w="1177" w:type="dxa"/>
            <w:tcBorders/>
            <w:vAlign w:val="center"/>
          </w:tcPr>
          <w:p>
            <w:pPr>
              <w:pStyle w:val="TableContents"/>
              <w:bidi w:val="0"/>
              <w:spacing w:before="0" w:after="283"/>
              <w:jc w:val="center"/>
              <w:rPr/>
            </w:pPr>
            <w:r>
              <w:rPr/>
              <w:t> </w:t>
            </w:r>
          </w:p>
        </w:tc>
        <w:tc>
          <w:tcPr>
            <w:tcW w:w="111" w:type="dxa"/>
            <w:tcBorders/>
            <w:vAlign w:val="center"/>
          </w:tcPr>
          <w:p>
            <w:pPr>
              <w:pStyle w:val="TableContents"/>
              <w:bidi w:val="0"/>
              <w:spacing w:before="0" w:after="283"/>
              <w:jc w:val="left"/>
              <w:rPr/>
            </w:pPr>
            <w:r>
              <w:rPr/>
              <w:t> </w:t>
            </w:r>
          </w:p>
        </w:tc>
      </w:tr>
      <w:tr>
        <w:trPr/>
        <w:tc>
          <w:tcPr>
            <w:tcW w:w="7247"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0" w:type="dxa"/>
            <w:gridSpan w:val="3"/>
            <w:tcBorders>
              <w:bottom w:val="single" w:sz="8" w:space="0" w:color="000000"/>
            </w:tcBorders>
            <w:tcMar>
              <w:bottom w:w="28" w:type="dxa"/>
            </w:tcMar>
            <w:vAlign w:val="center"/>
          </w:tcPr>
          <w:p>
            <w:pPr>
              <w:pStyle w:val="TableContents"/>
              <w:bidi w:val="0"/>
              <w:spacing w:before="0" w:after="283"/>
              <w:jc w:val="center"/>
              <w:rPr/>
            </w:pPr>
            <w:r>
              <w:rPr/>
              <w:t xml:space="preserve">June 30, </w:t>
              <w:br/>
              <w:t>2024</w:t>
            </w:r>
          </w:p>
        </w:tc>
        <w:tc>
          <w:tcPr>
            <w:tcW w:w="60" w:type="dxa"/>
            <w:tcBorders/>
            <w:vAlign w:val="center"/>
          </w:tcPr>
          <w:p>
            <w:pPr>
              <w:pStyle w:val="TableContents"/>
              <w:bidi w:val="0"/>
              <w:spacing w:before="0" w:after="283"/>
              <w:jc w:val="left"/>
              <w:rPr/>
            </w:pPr>
            <w:r>
              <w:rPr/>
              <w:t> </w:t>
            </w:r>
          </w:p>
        </w:tc>
        <w:tc>
          <w:tcPr>
            <w:tcW w:w="1428" w:type="dxa"/>
            <w:gridSpan w:val="3"/>
            <w:tcBorders>
              <w:bottom w:val="single" w:sz="8" w:space="0" w:color="000000"/>
            </w:tcBorders>
            <w:tcMar>
              <w:bottom w:w="28" w:type="dxa"/>
            </w:tcMar>
            <w:vAlign w:val="center"/>
          </w:tcPr>
          <w:p>
            <w:pPr>
              <w:pStyle w:val="TableContents"/>
              <w:bidi w:val="0"/>
              <w:spacing w:before="0" w:after="283"/>
              <w:jc w:val="center"/>
              <w:rPr/>
            </w:pPr>
            <w:r>
              <w:rPr/>
              <w:t xml:space="preserve">December 31, </w:t>
              <w:br/>
              <w:t>2023</w:t>
            </w:r>
          </w:p>
        </w:tc>
      </w:tr>
      <w:tr>
        <w:trPr/>
        <w:tc>
          <w:tcPr>
            <w:tcW w:w="7247"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10" w:type="dxa"/>
            <w:gridSpan w:val="3"/>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28" w:type="dxa"/>
            <w:gridSpan w:val="3"/>
            <w:tcBorders/>
            <w:vAlign w:val="center"/>
          </w:tcPr>
          <w:p>
            <w:pPr>
              <w:pStyle w:val="TableContents"/>
              <w:bidi w:val="0"/>
              <w:spacing w:before="0" w:after="283"/>
              <w:jc w:val="center"/>
              <w:rPr/>
            </w:pPr>
            <w:r>
              <w:rPr/>
              <w:t> </w:t>
            </w:r>
            <w:bookmarkStart w:id="36" w:name="xdx_40F_eus-gaap--AssetsAbstract_iB_z16x"/>
            <w:bookmarkEnd w:id="36"/>
          </w:p>
        </w:tc>
      </w:tr>
      <w:tr>
        <w:trPr/>
        <w:tc>
          <w:tcPr>
            <w:tcW w:w="7247" w:type="dxa"/>
            <w:tcBorders/>
            <w:shd w:fill="EEEEEE" w:val="clear"/>
            <w:vAlign w:val="center"/>
          </w:tcPr>
          <w:p>
            <w:pPr>
              <w:pStyle w:val="TableContents"/>
              <w:bidi w:val="0"/>
              <w:spacing w:before="0" w:after="283"/>
              <w:jc w:val="center"/>
              <w:rPr>
                <w:b/>
              </w:rPr>
            </w:pPr>
            <w:r>
              <w:rPr>
                <w:b/>
              </w:rPr>
              <w:t>Assets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 </w:t>
            </w:r>
          </w:p>
        </w:tc>
        <w:tc>
          <w:tcPr>
            <w:tcW w:w="111" w:type="dxa"/>
            <w:tcBorders/>
            <w:shd w:fill="EEEEEE" w:val="clear"/>
            <w:vAlign w:val="center"/>
          </w:tcPr>
          <w:p>
            <w:pPr>
              <w:pStyle w:val="TableContents"/>
              <w:bidi w:val="0"/>
              <w:spacing w:before="0" w:after="283"/>
              <w:jc w:val="left"/>
              <w:rPr/>
            </w:pPr>
            <w:r>
              <w:rPr/>
              <w:t> </w:t>
            </w:r>
            <w:bookmarkStart w:id="37" w:name="xdx_40D_eus-gaap--AssetsCurrentAbstract_"/>
            <w:bookmarkEnd w:id="37"/>
          </w:p>
        </w:tc>
      </w:tr>
      <w:tr>
        <w:trPr/>
        <w:tc>
          <w:tcPr>
            <w:tcW w:w="7247" w:type="dxa"/>
            <w:tcBorders/>
            <w:shd w:fill="FFFFFF" w:val="clear"/>
            <w:vAlign w:val="center"/>
          </w:tcPr>
          <w:p>
            <w:pPr>
              <w:pStyle w:val="TableContents"/>
              <w:bidi w:val="0"/>
              <w:spacing w:before="0" w:after="283"/>
              <w:jc w:val="left"/>
              <w:rPr/>
            </w:pPr>
            <w:r>
              <w:rPr/>
              <w:t>Current Assets: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 </w:t>
            </w:r>
          </w:p>
        </w:tc>
        <w:tc>
          <w:tcPr>
            <w:tcW w:w="111" w:type="dxa"/>
            <w:tcBorders/>
            <w:shd w:fill="FFFFFF" w:val="clear"/>
            <w:vAlign w:val="center"/>
          </w:tcPr>
          <w:p>
            <w:pPr>
              <w:pStyle w:val="TableContents"/>
              <w:bidi w:val="0"/>
              <w:spacing w:before="0" w:after="283"/>
              <w:jc w:val="left"/>
              <w:rPr/>
            </w:pPr>
            <w:r>
              <w:rPr/>
              <w:t> </w:t>
            </w:r>
            <w:bookmarkStart w:id="38" w:name="xdx_407_eus-gaap--CashAndCashEquivalents"/>
            <w:bookmarkEnd w:id="38"/>
          </w:p>
        </w:tc>
      </w:tr>
      <w:tr>
        <w:trPr/>
        <w:tc>
          <w:tcPr>
            <w:tcW w:w="7247" w:type="dxa"/>
            <w:tcBorders/>
            <w:shd w:fill="EEEEEE" w:val="clear"/>
            <w:vAlign w:val="center"/>
          </w:tcPr>
          <w:p>
            <w:pPr>
              <w:pStyle w:val="TableContents"/>
              <w:bidi w:val="0"/>
              <w:spacing w:before="0" w:after="283"/>
              <w:jc w:val="left"/>
              <w:rPr/>
            </w:pPr>
            <w:r>
              <w:rPr/>
              <w:t>Cash and cash equivalents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1,491,559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7" w:type="dxa"/>
            <w:tcBorders/>
            <w:shd w:fill="EEEEEE" w:val="clear"/>
            <w:vAlign w:val="center"/>
          </w:tcPr>
          <w:p>
            <w:pPr>
              <w:pStyle w:val="TableContents"/>
              <w:bidi w:val="0"/>
              <w:spacing w:before="0" w:after="283"/>
              <w:jc w:val="right"/>
              <w:rPr/>
            </w:pPr>
            <w:r>
              <w:rPr/>
              <w:t>548,721</w:t>
            </w:r>
          </w:p>
        </w:tc>
        <w:tc>
          <w:tcPr>
            <w:tcW w:w="111" w:type="dxa"/>
            <w:tcBorders/>
            <w:shd w:fill="EEEEEE" w:val="clear"/>
            <w:vAlign w:val="center"/>
          </w:tcPr>
          <w:p>
            <w:pPr>
              <w:pStyle w:val="TableContents"/>
              <w:bidi w:val="0"/>
              <w:spacing w:before="0" w:after="283"/>
              <w:jc w:val="left"/>
              <w:rPr/>
            </w:pPr>
            <w:r>
              <w:rPr/>
              <w:t> </w:t>
            </w:r>
            <w:bookmarkStart w:id="39" w:name="xdx_403_eus-gaap--DeferredOfferingCosts_"/>
            <w:bookmarkEnd w:id="39"/>
          </w:p>
        </w:tc>
      </w:tr>
      <w:tr>
        <w:trPr/>
        <w:tc>
          <w:tcPr>
            <w:tcW w:w="7247" w:type="dxa"/>
            <w:tcBorders/>
            <w:shd w:fill="FFFFFF" w:val="clear"/>
            <w:vAlign w:val="center"/>
          </w:tcPr>
          <w:p>
            <w:pPr>
              <w:pStyle w:val="TableContents"/>
              <w:bidi w:val="0"/>
              <w:spacing w:before="0" w:after="283"/>
              <w:jc w:val="left"/>
              <w:rPr/>
            </w:pPr>
            <w:r>
              <w:rPr/>
              <w:t>Deferred offering costs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16,750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202,859</w:t>
            </w:r>
          </w:p>
        </w:tc>
        <w:tc>
          <w:tcPr>
            <w:tcW w:w="111" w:type="dxa"/>
            <w:tcBorders/>
            <w:shd w:fill="FFFFFF" w:val="clear"/>
            <w:vAlign w:val="center"/>
          </w:tcPr>
          <w:p>
            <w:pPr>
              <w:pStyle w:val="TableContents"/>
              <w:bidi w:val="0"/>
              <w:spacing w:before="0" w:after="283"/>
              <w:jc w:val="left"/>
              <w:rPr/>
            </w:pPr>
            <w:r>
              <w:rPr/>
              <w:t> </w:t>
            </w:r>
            <w:bookmarkStart w:id="40" w:name="xdx_40B_eus-gaap--PrepaidExpenseAndOther"/>
            <w:bookmarkEnd w:id="40"/>
          </w:p>
        </w:tc>
      </w:tr>
      <w:tr>
        <w:trPr/>
        <w:tc>
          <w:tcPr>
            <w:tcW w:w="7247" w:type="dxa"/>
            <w:tcBorders/>
            <w:shd w:fill="EEEEEE" w:val="clear"/>
            <w:vAlign w:val="center"/>
          </w:tcPr>
          <w:p>
            <w:pPr>
              <w:pStyle w:val="TableContents"/>
              <w:bidi w:val="0"/>
              <w:spacing w:before="0" w:after="283"/>
              <w:jc w:val="left"/>
              <w:rPr/>
            </w:pPr>
            <w:r>
              <w:rPr/>
              <w:t>Prepaid expenses and other current assets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637,087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7" w:type="dxa"/>
            <w:tcBorders>
              <w:bottom w:val="single" w:sz="8" w:space="0" w:color="000000"/>
            </w:tcBorders>
            <w:shd w:fill="EEEEEE" w:val="clear"/>
            <w:tcMar>
              <w:bottom w:w="28" w:type="dxa"/>
            </w:tcMar>
            <w:vAlign w:val="center"/>
          </w:tcPr>
          <w:p>
            <w:pPr>
              <w:pStyle w:val="TableContents"/>
              <w:bidi w:val="0"/>
              <w:spacing w:before="0" w:after="283"/>
              <w:jc w:val="right"/>
              <w:rPr/>
            </w:pPr>
            <w:r>
              <w:rPr/>
              <w:t>839,590</w:t>
            </w:r>
          </w:p>
        </w:tc>
        <w:tc>
          <w:tcPr>
            <w:tcW w:w="111" w:type="dxa"/>
            <w:tcBorders/>
            <w:shd w:fill="EEEEEE" w:val="clear"/>
            <w:vAlign w:val="center"/>
          </w:tcPr>
          <w:p>
            <w:pPr>
              <w:pStyle w:val="TableContents"/>
              <w:bidi w:val="0"/>
              <w:spacing w:before="0" w:after="283"/>
              <w:jc w:val="left"/>
              <w:rPr/>
            </w:pPr>
            <w:r>
              <w:rPr/>
              <w:t> </w:t>
            </w:r>
            <w:bookmarkStart w:id="41" w:name="xdx_40F_eus-gaap--AssetsCurrent_i02TI_mt"/>
            <w:bookmarkEnd w:id="41"/>
          </w:p>
        </w:tc>
      </w:tr>
      <w:tr>
        <w:trPr/>
        <w:tc>
          <w:tcPr>
            <w:tcW w:w="7247" w:type="dxa"/>
            <w:tcBorders/>
            <w:shd w:fill="FFFFFF" w:val="clear"/>
            <w:vAlign w:val="center"/>
          </w:tcPr>
          <w:p>
            <w:pPr>
              <w:pStyle w:val="TableContents"/>
              <w:bidi w:val="0"/>
              <w:spacing w:before="0" w:after="283"/>
              <w:jc w:val="left"/>
              <w:rPr/>
            </w:pPr>
            <w:r>
              <w:rPr/>
              <w:t>Total current assets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2,145,396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7" w:type="dxa"/>
            <w:tcBorders>
              <w:bottom w:val="single" w:sz="8" w:space="0" w:color="000000"/>
            </w:tcBorders>
            <w:shd w:fill="FFFFFF" w:val="clear"/>
            <w:tcMar>
              <w:bottom w:w="28" w:type="dxa"/>
            </w:tcMar>
            <w:vAlign w:val="center"/>
          </w:tcPr>
          <w:p>
            <w:pPr>
              <w:pStyle w:val="TableContents"/>
              <w:bidi w:val="0"/>
              <w:spacing w:before="0" w:after="283"/>
              <w:jc w:val="right"/>
              <w:rPr/>
            </w:pPr>
            <w:r>
              <w:rPr/>
              <w:t>1,591,170</w:t>
            </w:r>
          </w:p>
        </w:tc>
        <w:tc>
          <w:tcPr>
            <w:tcW w:w="111" w:type="dxa"/>
            <w:tcBorders/>
            <w:shd w:fill="FFFFFF" w:val="clear"/>
            <w:vAlign w:val="center"/>
          </w:tcPr>
          <w:p>
            <w:pPr>
              <w:pStyle w:val="TableContents"/>
              <w:bidi w:val="0"/>
              <w:spacing w:before="0" w:after="283"/>
              <w:jc w:val="left"/>
              <w:rPr/>
            </w:pPr>
            <w:r>
              <w:rPr/>
              <w:t> </w:t>
            </w:r>
          </w:p>
        </w:tc>
      </w:tr>
      <w:tr>
        <w:trPr/>
        <w:tc>
          <w:tcPr>
            <w:tcW w:w="724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 </w:t>
            </w:r>
          </w:p>
        </w:tc>
        <w:tc>
          <w:tcPr>
            <w:tcW w:w="111" w:type="dxa"/>
            <w:tcBorders/>
            <w:shd w:fill="EEEEEE" w:val="clear"/>
            <w:vAlign w:val="center"/>
          </w:tcPr>
          <w:p>
            <w:pPr>
              <w:pStyle w:val="TableContents"/>
              <w:bidi w:val="0"/>
              <w:spacing w:before="0" w:after="283"/>
              <w:jc w:val="left"/>
              <w:rPr/>
            </w:pPr>
            <w:r>
              <w:rPr/>
              <w:t> </w:t>
            </w:r>
            <w:bookmarkStart w:id="42" w:name="xdx_40A_eus-gaap--AssetsNoncurrentAbstra"/>
            <w:bookmarkEnd w:id="42"/>
          </w:p>
        </w:tc>
      </w:tr>
      <w:tr>
        <w:trPr/>
        <w:tc>
          <w:tcPr>
            <w:tcW w:w="7247" w:type="dxa"/>
            <w:tcBorders/>
            <w:shd w:fill="FFFFFF" w:val="clear"/>
            <w:vAlign w:val="center"/>
          </w:tcPr>
          <w:p>
            <w:pPr>
              <w:pStyle w:val="TableContents"/>
              <w:bidi w:val="0"/>
              <w:spacing w:before="0" w:after="283"/>
              <w:jc w:val="left"/>
              <w:rPr/>
            </w:pPr>
            <w:r>
              <w:rPr/>
              <w:t>Noncurrent Assets: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 </w:t>
            </w:r>
          </w:p>
        </w:tc>
        <w:tc>
          <w:tcPr>
            <w:tcW w:w="111" w:type="dxa"/>
            <w:tcBorders/>
            <w:shd w:fill="FFFFFF" w:val="clear"/>
            <w:vAlign w:val="center"/>
          </w:tcPr>
          <w:p>
            <w:pPr>
              <w:pStyle w:val="TableContents"/>
              <w:bidi w:val="0"/>
              <w:spacing w:before="0" w:after="283"/>
              <w:jc w:val="left"/>
              <w:rPr/>
            </w:pPr>
            <w:r>
              <w:rPr/>
              <w:t> </w:t>
            </w:r>
            <w:bookmarkStart w:id="43" w:name="xdx_40C_eus-gaap--PrepaidExpenseNoncurre"/>
            <w:bookmarkEnd w:id="43"/>
          </w:p>
        </w:tc>
      </w:tr>
      <w:tr>
        <w:trPr/>
        <w:tc>
          <w:tcPr>
            <w:tcW w:w="7247" w:type="dxa"/>
            <w:tcBorders/>
            <w:shd w:fill="EEEEEE" w:val="clear"/>
            <w:vAlign w:val="center"/>
          </w:tcPr>
          <w:p>
            <w:pPr>
              <w:pStyle w:val="TableContents"/>
              <w:bidi w:val="0"/>
              <w:spacing w:before="0" w:after="283"/>
              <w:jc w:val="left"/>
              <w:rPr/>
            </w:pPr>
            <w:r>
              <w:rPr/>
              <w:t>Prepaid expenses, net of current portion</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320,320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104,750</w:t>
            </w:r>
          </w:p>
        </w:tc>
        <w:tc>
          <w:tcPr>
            <w:tcW w:w="111" w:type="dxa"/>
            <w:tcBorders/>
            <w:shd w:fill="EEEEEE" w:val="clear"/>
            <w:vAlign w:val="center"/>
          </w:tcPr>
          <w:p>
            <w:pPr>
              <w:pStyle w:val="TableContents"/>
              <w:bidi w:val="0"/>
              <w:spacing w:before="0" w:after="283"/>
              <w:jc w:val="left"/>
              <w:rPr/>
            </w:pPr>
            <w:r>
              <w:rPr/>
              <w:t> </w:t>
            </w:r>
            <w:bookmarkStart w:id="44" w:name="xdx_408_eus-gaap--PropertyPlantAndEquipm"/>
            <w:bookmarkEnd w:id="44"/>
          </w:p>
        </w:tc>
      </w:tr>
      <w:tr>
        <w:trPr/>
        <w:tc>
          <w:tcPr>
            <w:tcW w:w="7247" w:type="dxa"/>
            <w:tcBorders/>
            <w:shd w:fill="FFFFFF" w:val="clear"/>
            <w:vAlign w:val="center"/>
          </w:tcPr>
          <w:p>
            <w:pPr>
              <w:pStyle w:val="TableContents"/>
              <w:bidi w:val="0"/>
              <w:spacing w:before="0" w:after="283"/>
              <w:jc w:val="left"/>
              <w:rPr/>
            </w:pPr>
            <w:r>
              <w:rPr/>
              <w:t>Property and equipment, net</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3,553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7" w:type="dxa"/>
            <w:tcBorders>
              <w:bottom w:val="single" w:sz="8" w:space="0" w:color="000000"/>
            </w:tcBorders>
            <w:shd w:fill="FFFFFF" w:val="clear"/>
            <w:tcMar>
              <w:bottom w:w="28" w:type="dxa"/>
            </w:tcMar>
            <w:vAlign w:val="center"/>
          </w:tcPr>
          <w:p>
            <w:pPr>
              <w:pStyle w:val="TableContents"/>
              <w:bidi w:val="0"/>
              <w:spacing w:before="0" w:after="283"/>
              <w:jc w:val="right"/>
              <w:rPr/>
            </w:pPr>
            <w:r>
              <w:rPr/>
              <w:t>4,933</w:t>
            </w:r>
          </w:p>
        </w:tc>
        <w:tc>
          <w:tcPr>
            <w:tcW w:w="111" w:type="dxa"/>
            <w:tcBorders/>
            <w:shd w:fill="FFFFFF" w:val="clear"/>
            <w:vAlign w:val="center"/>
          </w:tcPr>
          <w:p>
            <w:pPr>
              <w:pStyle w:val="TableContents"/>
              <w:bidi w:val="0"/>
              <w:spacing w:before="0" w:after="283"/>
              <w:jc w:val="left"/>
              <w:rPr/>
            </w:pPr>
            <w:r>
              <w:rPr/>
              <w:t> </w:t>
            </w:r>
            <w:bookmarkStart w:id="45" w:name="xdx_40B_eus-gaap--AssetsNoncurrent_iTI_m"/>
            <w:bookmarkEnd w:id="45"/>
          </w:p>
        </w:tc>
      </w:tr>
      <w:tr>
        <w:trPr/>
        <w:tc>
          <w:tcPr>
            <w:tcW w:w="7247" w:type="dxa"/>
            <w:tcBorders/>
            <w:shd w:fill="EEEEEE" w:val="clear"/>
            <w:vAlign w:val="center"/>
          </w:tcPr>
          <w:p>
            <w:pPr>
              <w:pStyle w:val="TableContents"/>
              <w:bidi w:val="0"/>
              <w:spacing w:before="0" w:after="283"/>
              <w:jc w:val="left"/>
              <w:rPr/>
            </w:pPr>
            <w:r>
              <w:rPr/>
              <w:t>Total noncurrent assets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323,873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7" w:type="dxa"/>
            <w:tcBorders>
              <w:bottom w:val="single" w:sz="8" w:space="0" w:color="000000"/>
            </w:tcBorders>
            <w:shd w:fill="EEEEEE" w:val="clear"/>
            <w:tcMar>
              <w:bottom w:w="28" w:type="dxa"/>
            </w:tcMar>
            <w:vAlign w:val="center"/>
          </w:tcPr>
          <w:p>
            <w:pPr>
              <w:pStyle w:val="TableContents"/>
              <w:bidi w:val="0"/>
              <w:spacing w:before="0" w:after="283"/>
              <w:jc w:val="right"/>
              <w:rPr/>
            </w:pPr>
            <w:r>
              <w:rPr/>
              <w:t>109,683</w:t>
            </w:r>
          </w:p>
        </w:tc>
        <w:tc>
          <w:tcPr>
            <w:tcW w:w="111" w:type="dxa"/>
            <w:tcBorders/>
            <w:shd w:fill="EEEEEE" w:val="clear"/>
            <w:vAlign w:val="center"/>
          </w:tcPr>
          <w:p>
            <w:pPr>
              <w:pStyle w:val="TableContents"/>
              <w:bidi w:val="0"/>
              <w:spacing w:before="0" w:after="283"/>
              <w:jc w:val="left"/>
              <w:rPr/>
            </w:pPr>
            <w:r>
              <w:rPr/>
              <w:t> </w:t>
            </w:r>
          </w:p>
        </w:tc>
      </w:tr>
      <w:tr>
        <w:trPr/>
        <w:tc>
          <w:tcPr>
            <w:tcW w:w="7247"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 </w:t>
            </w:r>
          </w:p>
        </w:tc>
        <w:tc>
          <w:tcPr>
            <w:tcW w:w="111" w:type="dxa"/>
            <w:tcBorders/>
            <w:shd w:fill="FFFFFF" w:val="clear"/>
            <w:vAlign w:val="center"/>
          </w:tcPr>
          <w:p>
            <w:pPr>
              <w:pStyle w:val="TableContents"/>
              <w:bidi w:val="0"/>
              <w:spacing w:before="0" w:after="283"/>
              <w:jc w:val="left"/>
              <w:rPr/>
            </w:pPr>
            <w:r>
              <w:rPr/>
              <w:t> </w:t>
            </w:r>
            <w:bookmarkStart w:id="46" w:name="xdx_40D_eus-gaap--Assets_iTI_mtCzgJ4_zUF"/>
            <w:bookmarkEnd w:id="46"/>
          </w:p>
        </w:tc>
      </w:tr>
      <w:tr>
        <w:trPr/>
        <w:tc>
          <w:tcPr>
            <w:tcW w:w="7247" w:type="dxa"/>
            <w:tcBorders/>
            <w:shd w:fill="EEEEEE" w:val="clear"/>
            <w:vAlign w:val="center"/>
          </w:tcPr>
          <w:p>
            <w:pPr>
              <w:pStyle w:val="TableContents"/>
              <w:bidi w:val="0"/>
              <w:spacing w:before="0" w:after="283"/>
              <w:jc w:val="left"/>
              <w:rPr/>
            </w:pPr>
            <w:r>
              <w:rPr/>
              <w:t>Total Assets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2,469,269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7" w:type="dxa"/>
            <w:tcBorders>
              <w:bottom w:val="double" w:sz="6" w:space="0" w:color="000000"/>
            </w:tcBorders>
            <w:shd w:fill="EEEEEE" w:val="clear"/>
            <w:tcMar>
              <w:bottom w:w="28" w:type="dxa"/>
            </w:tcMar>
            <w:vAlign w:val="center"/>
          </w:tcPr>
          <w:p>
            <w:pPr>
              <w:pStyle w:val="TableContents"/>
              <w:bidi w:val="0"/>
              <w:spacing w:before="0" w:after="283"/>
              <w:jc w:val="right"/>
              <w:rPr/>
            </w:pPr>
            <w:r>
              <w:rPr/>
              <w:t>1,700,853</w:t>
            </w:r>
          </w:p>
        </w:tc>
        <w:tc>
          <w:tcPr>
            <w:tcW w:w="111" w:type="dxa"/>
            <w:tcBorders/>
            <w:shd w:fill="EEEEEE" w:val="clear"/>
            <w:vAlign w:val="center"/>
          </w:tcPr>
          <w:p>
            <w:pPr>
              <w:pStyle w:val="TableContents"/>
              <w:bidi w:val="0"/>
              <w:spacing w:before="0" w:after="283"/>
              <w:jc w:val="left"/>
              <w:rPr/>
            </w:pPr>
            <w:r>
              <w:rPr/>
              <w:t> </w:t>
            </w:r>
          </w:p>
        </w:tc>
      </w:tr>
      <w:tr>
        <w:trPr/>
        <w:tc>
          <w:tcPr>
            <w:tcW w:w="7247"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 </w:t>
            </w:r>
          </w:p>
        </w:tc>
        <w:tc>
          <w:tcPr>
            <w:tcW w:w="111" w:type="dxa"/>
            <w:tcBorders/>
            <w:shd w:fill="FFFFFF" w:val="clear"/>
            <w:vAlign w:val="center"/>
          </w:tcPr>
          <w:p>
            <w:pPr>
              <w:pStyle w:val="TableContents"/>
              <w:bidi w:val="0"/>
              <w:spacing w:before="0" w:after="283"/>
              <w:jc w:val="left"/>
              <w:rPr/>
            </w:pPr>
            <w:r>
              <w:rPr/>
              <w:t> </w:t>
            </w:r>
            <w:bookmarkStart w:id="47" w:name="xdx_401_eus-gaap--LiabilitiesAndStockhol"/>
            <w:bookmarkEnd w:id="47"/>
          </w:p>
        </w:tc>
      </w:tr>
      <w:tr>
        <w:trPr/>
        <w:tc>
          <w:tcPr>
            <w:tcW w:w="7247" w:type="dxa"/>
            <w:tcBorders/>
            <w:shd w:fill="EEEEEE" w:val="clear"/>
            <w:vAlign w:val="center"/>
          </w:tcPr>
          <w:p>
            <w:pPr>
              <w:pStyle w:val="TableContents"/>
              <w:bidi w:val="0"/>
              <w:spacing w:before="0" w:after="283"/>
              <w:jc w:val="center"/>
              <w:rPr>
                <w:b/>
              </w:rPr>
            </w:pPr>
            <w:r>
              <w:rPr>
                <w:b/>
              </w:rPr>
              <w:t>Liabilities and Stockholders' Equity (Deficit)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 </w:t>
            </w:r>
          </w:p>
        </w:tc>
        <w:tc>
          <w:tcPr>
            <w:tcW w:w="111" w:type="dxa"/>
            <w:tcBorders/>
            <w:shd w:fill="EEEEEE" w:val="clear"/>
            <w:vAlign w:val="center"/>
          </w:tcPr>
          <w:p>
            <w:pPr>
              <w:pStyle w:val="TableContents"/>
              <w:bidi w:val="0"/>
              <w:spacing w:before="0" w:after="283"/>
              <w:jc w:val="left"/>
              <w:rPr/>
            </w:pPr>
            <w:r>
              <w:rPr/>
              <w:t> </w:t>
            </w:r>
          </w:p>
        </w:tc>
      </w:tr>
      <w:tr>
        <w:trPr/>
        <w:tc>
          <w:tcPr>
            <w:tcW w:w="7247"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 </w:t>
            </w:r>
          </w:p>
        </w:tc>
        <w:tc>
          <w:tcPr>
            <w:tcW w:w="111" w:type="dxa"/>
            <w:tcBorders/>
            <w:shd w:fill="FFFFFF" w:val="clear"/>
            <w:vAlign w:val="center"/>
          </w:tcPr>
          <w:p>
            <w:pPr>
              <w:pStyle w:val="TableContents"/>
              <w:bidi w:val="0"/>
              <w:spacing w:before="0" w:after="283"/>
              <w:jc w:val="left"/>
              <w:rPr/>
            </w:pPr>
            <w:r>
              <w:rPr/>
              <w:t> </w:t>
            </w:r>
            <w:bookmarkStart w:id="48" w:name="xdx_40C_eus-gaap--LiabilitiesCurrentAbst"/>
            <w:bookmarkEnd w:id="48"/>
          </w:p>
        </w:tc>
      </w:tr>
      <w:tr>
        <w:trPr/>
        <w:tc>
          <w:tcPr>
            <w:tcW w:w="7247" w:type="dxa"/>
            <w:tcBorders/>
            <w:shd w:fill="EEEEEE" w:val="clear"/>
            <w:vAlign w:val="center"/>
          </w:tcPr>
          <w:p>
            <w:pPr>
              <w:pStyle w:val="TableContents"/>
              <w:bidi w:val="0"/>
              <w:spacing w:before="0" w:after="283"/>
              <w:jc w:val="left"/>
              <w:rPr/>
            </w:pPr>
            <w:r>
              <w:rPr/>
              <w:t>Current Liabilities: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 </w:t>
            </w:r>
          </w:p>
        </w:tc>
        <w:tc>
          <w:tcPr>
            <w:tcW w:w="111" w:type="dxa"/>
            <w:tcBorders/>
            <w:shd w:fill="EEEEEE" w:val="clear"/>
            <w:vAlign w:val="center"/>
          </w:tcPr>
          <w:p>
            <w:pPr>
              <w:pStyle w:val="TableContents"/>
              <w:bidi w:val="0"/>
              <w:spacing w:before="0" w:after="283"/>
              <w:jc w:val="left"/>
              <w:rPr/>
            </w:pPr>
            <w:r>
              <w:rPr/>
              <w:t> </w:t>
            </w:r>
            <w:bookmarkStart w:id="49" w:name="xdx_40C_eus-gaap--AccountsPayableAndAccr"/>
            <w:bookmarkEnd w:id="49"/>
          </w:p>
        </w:tc>
      </w:tr>
      <w:tr>
        <w:trPr/>
        <w:tc>
          <w:tcPr>
            <w:tcW w:w="7247" w:type="dxa"/>
            <w:tcBorders/>
            <w:shd w:fill="FFFFFF" w:val="clear"/>
            <w:vAlign w:val="center"/>
          </w:tcPr>
          <w:p>
            <w:pPr>
              <w:pStyle w:val="TableContents"/>
              <w:bidi w:val="0"/>
              <w:spacing w:before="0" w:after="283"/>
              <w:jc w:val="left"/>
              <w:rPr/>
            </w:pPr>
            <w:r>
              <w:rPr/>
              <w:t>Accounts payable and accrued expenses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6,639,622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7" w:type="dxa"/>
            <w:tcBorders/>
            <w:shd w:fill="FFFFFF" w:val="clear"/>
            <w:vAlign w:val="center"/>
          </w:tcPr>
          <w:p>
            <w:pPr>
              <w:pStyle w:val="TableContents"/>
              <w:bidi w:val="0"/>
              <w:spacing w:before="0" w:after="283"/>
              <w:jc w:val="right"/>
              <w:rPr/>
            </w:pPr>
            <w:r>
              <w:rPr/>
              <w:t>5,832,162</w:t>
            </w:r>
          </w:p>
        </w:tc>
        <w:tc>
          <w:tcPr>
            <w:tcW w:w="111" w:type="dxa"/>
            <w:tcBorders/>
            <w:shd w:fill="FFFFFF" w:val="clear"/>
            <w:vAlign w:val="center"/>
          </w:tcPr>
          <w:p>
            <w:pPr>
              <w:pStyle w:val="TableContents"/>
              <w:bidi w:val="0"/>
              <w:spacing w:before="0" w:after="283"/>
              <w:jc w:val="left"/>
              <w:rPr/>
            </w:pPr>
            <w:r>
              <w:rPr/>
              <w:t> </w:t>
            </w:r>
            <w:bookmarkStart w:id="50" w:name="xdx_406_eus-gaap--NotesPayableCurrent_i0"/>
            <w:bookmarkEnd w:id="50"/>
          </w:p>
        </w:tc>
      </w:tr>
      <w:tr>
        <w:trPr/>
        <w:tc>
          <w:tcPr>
            <w:tcW w:w="7247" w:type="dxa"/>
            <w:tcBorders/>
            <w:shd w:fill="EEEEEE" w:val="clear"/>
            <w:vAlign w:val="center"/>
          </w:tcPr>
          <w:p>
            <w:pPr>
              <w:pStyle w:val="TableContents"/>
              <w:bidi w:val="0"/>
              <w:spacing w:before="0" w:after="283"/>
              <w:jc w:val="left"/>
              <w:rPr/>
            </w:pPr>
            <w:r>
              <w:rPr/>
              <w:t>Notes payable</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123,248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7" w:type="dxa"/>
            <w:tcBorders>
              <w:bottom w:val="single" w:sz="8" w:space="0" w:color="000000"/>
            </w:tcBorders>
            <w:shd w:fill="EEEEEE" w:val="clear"/>
            <w:tcMar>
              <w:bottom w:w="28" w:type="dxa"/>
            </w:tcMar>
            <w:vAlign w:val="center"/>
          </w:tcPr>
          <w:p>
            <w:pPr>
              <w:pStyle w:val="TableContents"/>
              <w:bidi w:val="0"/>
              <w:spacing w:before="0" w:after="283"/>
              <w:jc w:val="right"/>
              <w:rPr/>
            </w:pPr>
            <w:r>
              <w:rPr/>
              <w:t>300,806</w:t>
            </w:r>
          </w:p>
        </w:tc>
        <w:tc>
          <w:tcPr>
            <w:tcW w:w="111" w:type="dxa"/>
            <w:tcBorders/>
            <w:shd w:fill="EEEEEE" w:val="clear"/>
            <w:vAlign w:val="center"/>
          </w:tcPr>
          <w:p>
            <w:pPr>
              <w:pStyle w:val="TableContents"/>
              <w:bidi w:val="0"/>
              <w:spacing w:before="0" w:after="283"/>
              <w:jc w:val="left"/>
              <w:rPr/>
            </w:pPr>
            <w:r>
              <w:rPr/>
              <w:t> </w:t>
            </w:r>
            <w:bookmarkStart w:id="51" w:name="xdx_400_eus-gaap--LiabilitiesCurrent_i02"/>
            <w:bookmarkEnd w:id="51"/>
          </w:p>
        </w:tc>
      </w:tr>
      <w:tr>
        <w:trPr/>
        <w:tc>
          <w:tcPr>
            <w:tcW w:w="7247" w:type="dxa"/>
            <w:tcBorders/>
            <w:shd w:fill="FFFFFF" w:val="clear"/>
            <w:vAlign w:val="center"/>
          </w:tcPr>
          <w:p>
            <w:pPr>
              <w:pStyle w:val="TableContents"/>
              <w:bidi w:val="0"/>
              <w:spacing w:before="0" w:after="283"/>
              <w:jc w:val="left"/>
              <w:rPr/>
            </w:pPr>
            <w:r>
              <w:rPr/>
              <w:t>Total current liabilities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6,762,870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7" w:type="dxa"/>
            <w:tcBorders>
              <w:bottom w:val="single" w:sz="8" w:space="0" w:color="000000"/>
            </w:tcBorders>
            <w:shd w:fill="FFFFFF" w:val="clear"/>
            <w:tcMar>
              <w:bottom w:w="28" w:type="dxa"/>
            </w:tcMar>
            <w:vAlign w:val="center"/>
          </w:tcPr>
          <w:p>
            <w:pPr>
              <w:pStyle w:val="TableContents"/>
              <w:bidi w:val="0"/>
              <w:spacing w:before="0" w:after="283"/>
              <w:jc w:val="right"/>
              <w:rPr/>
            </w:pPr>
            <w:r>
              <w:rPr/>
              <w:t>6,132,968</w:t>
            </w:r>
          </w:p>
        </w:tc>
        <w:tc>
          <w:tcPr>
            <w:tcW w:w="111" w:type="dxa"/>
            <w:tcBorders/>
            <w:shd w:fill="FFFFFF" w:val="clear"/>
            <w:vAlign w:val="center"/>
          </w:tcPr>
          <w:p>
            <w:pPr>
              <w:pStyle w:val="TableContents"/>
              <w:bidi w:val="0"/>
              <w:spacing w:before="0" w:after="283"/>
              <w:jc w:val="left"/>
              <w:rPr/>
            </w:pPr>
            <w:r>
              <w:rPr/>
              <w:t> </w:t>
            </w:r>
          </w:p>
        </w:tc>
      </w:tr>
      <w:tr>
        <w:trPr/>
        <w:tc>
          <w:tcPr>
            <w:tcW w:w="724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 </w:t>
            </w:r>
          </w:p>
        </w:tc>
        <w:tc>
          <w:tcPr>
            <w:tcW w:w="111" w:type="dxa"/>
            <w:tcBorders/>
            <w:shd w:fill="EEEEEE" w:val="clear"/>
            <w:vAlign w:val="center"/>
          </w:tcPr>
          <w:p>
            <w:pPr>
              <w:pStyle w:val="TableContents"/>
              <w:bidi w:val="0"/>
              <w:spacing w:before="0" w:after="283"/>
              <w:jc w:val="left"/>
              <w:rPr/>
            </w:pPr>
            <w:r>
              <w:rPr/>
              <w:t> </w:t>
            </w:r>
            <w:bookmarkStart w:id="52" w:name="xdx_405_eus-gaap--Liabilities_iTI_mtCzee"/>
            <w:bookmarkEnd w:id="52"/>
          </w:p>
        </w:tc>
      </w:tr>
      <w:tr>
        <w:trPr/>
        <w:tc>
          <w:tcPr>
            <w:tcW w:w="7247" w:type="dxa"/>
            <w:tcBorders/>
            <w:shd w:fill="FFFFFF" w:val="clear"/>
            <w:vAlign w:val="center"/>
          </w:tcPr>
          <w:p>
            <w:pPr>
              <w:pStyle w:val="TableContents"/>
              <w:bidi w:val="0"/>
              <w:spacing w:before="0" w:after="283"/>
              <w:jc w:val="left"/>
              <w:rPr/>
            </w:pPr>
            <w:r>
              <w:rPr/>
              <w:t>Total Liabilities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6,762,870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7" w:type="dxa"/>
            <w:tcBorders>
              <w:bottom w:val="single" w:sz="8" w:space="0" w:color="000000"/>
            </w:tcBorders>
            <w:shd w:fill="FFFFFF" w:val="clear"/>
            <w:tcMar>
              <w:bottom w:w="28" w:type="dxa"/>
            </w:tcMar>
            <w:vAlign w:val="center"/>
          </w:tcPr>
          <w:p>
            <w:pPr>
              <w:pStyle w:val="TableContents"/>
              <w:bidi w:val="0"/>
              <w:spacing w:before="0" w:after="283"/>
              <w:jc w:val="right"/>
              <w:rPr/>
            </w:pPr>
            <w:r>
              <w:rPr/>
              <w:t>6,132,968</w:t>
            </w:r>
          </w:p>
        </w:tc>
        <w:tc>
          <w:tcPr>
            <w:tcW w:w="111" w:type="dxa"/>
            <w:tcBorders/>
            <w:shd w:fill="FFFFFF" w:val="clear"/>
            <w:vAlign w:val="center"/>
          </w:tcPr>
          <w:p>
            <w:pPr>
              <w:pStyle w:val="TableContents"/>
              <w:bidi w:val="0"/>
              <w:spacing w:before="0" w:after="283"/>
              <w:jc w:val="left"/>
              <w:rPr/>
            </w:pPr>
            <w:r>
              <w:rPr/>
              <w:t> </w:t>
            </w:r>
          </w:p>
        </w:tc>
      </w:tr>
      <w:tr>
        <w:trPr/>
        <w:tc>
          <w:tcPr>
            <w:tcW w:w="724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 </w:t>
            </w:r>
          </w:p>
        </w:tc>
        <w:tc>
          <w:tcPr>
            <w:tcW w:w="111" w:type="dxa"/>
            <w:tcBorders/>
            <w:shd w:fill="EEEEEE" w:val="clear"/>
            <w:vAlign w:val="center"/>
          </w:tcPr>
          <w:p>
            <w:pPr>
              <w:pStyle w:val="TableContents"/>
              <w:bidi w:val="0"/>
              <w:spacing w:before="0" w:after="283"/>
              <w:jc w:val="left"/>
              <w:rPr/>
            </w:pPr>
            <w:r>
              <w:rPr/>
              <w:t> </w:t>
            </w:r>
            <w:bookmarkStart w:id="53" w:name="xdx_40C_eus-gaap--CommitmentsAndContinge"/>
            <w:bookmarkEnd w:id="53"/>
          </w:p>
        </w:tc>
      </w:tr>
      <w:tr>
        <w:trPr/>
        <w:tc>
          <w:tcPr>
            <w:tcW w:w="7247" w:type="dxa"/>
            <w:tcBorders/>
            <w:shd w:fill="FFFFFF" w:val="clear"/>
            <w:vAlign w:val="center"/>
          </w:tcPr>
          <w:p>
            <w:pPr>
              <w:pStyle w:val="TableContents"/>
              <w:bidi w:val="0"/>
              <w:spacing w:before="0" w:after="283"/>
              <w:jc w:val="left"/>
              <w:rPr/>
            </w:pPr>
            <w:r>
              <w:rPr/>
              <w:t>Commitments and contingencies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w:t>
            </w:r>
          </w:p>
        </w:tc>
        <w:tc>
          <w:tcPr>
            <w:tcW w:w="111" w:type="dxa"/>
            <w:tcBorders/>
            <w:shd w:fill="FFFFFF" w:val="clear"/>
            <w:vAlign w:val="center"/>
          </w:tcPr>
          <w:p>
            <w:pPr>
              <w:pStyle w:val="TableContents"/>
              <w:bidi w:val="0"/>
              <w:spacing w:before="0" w:after="283"/>
              <w:jc w:val="left"/>
              <w:rPr/>
            </w:pPr>
            <w:r>
              <w:rPr/>
              <w:t> </w:t>
            </w:r>
          </w:p>
        </w:tc>
      </w:tr>
      <w:tr>
        <w:trPr/>
        <w:tc>
          <w:tcPr>
            <w:tcW w:w="724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 </w:t>
            </w:r>
          </w:p>
        </w:tc>
        <w:tc>
          <w:tcPr>
            <w:tcW w:w="111" w:type="dxa"/>
            <w:tcBorders/>
            <w:shd w:fill="EEEEEE" w:val="clear"/>
            <w:vAlign w:val="center"/>
          </w:tcPr>
          <w:p>
            <w:pPr>
              <w:pStyle w:val="TableContents"/>
              <w:bidi w:val="0"/>
              <w:spacing w:before="0" w:after="283"/>
              <w:jc w:val="left"/>
              <w:rPr/>
            </w:pPr>
            <w:r>
              <w:rPr/>
              <w:t> </w:t>
            </w:r>
            <w:bookmarkStart w:id="54" w:name="xdx_40C_eus-gaap--StockholdersEquityAbst"/>
            <w:bookmarkEnd w:id="54"/>
          </w:p>
        </w:tc>
      </w:tr>
      <w:tr>
        <w:trPr/>
        <w:tc>
          <w:tcPr>
            <w:tcW w:w="7247" w:type="dxa"/>
            <w:tcBorders/>
            <w:shd w:fill="FFFFFF" w:val="clear"/>
            <w:vAlign w:val="center"/>
          </w:tcPr>
          <w:p>
            <w:pPr>
              <w:pStyle w:val="TableContents"/>
              <w:bidi w:val="0"/>
              <w:spacing w:before="0" w:after="283"/>
              <w:jc w:val="left"/>
              <w:rPr/>
            </w:pPr>
            <w:r>
              <w:rPr/>
              <w:t>Stockholders' Equity (Deficit):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 </w:t>
            </w:r>
          </w:p>
        </w:tc>
        <w:tc>
          <w:tcPr>
            <w:tcW w:w="111" w:type="dxa"/>
            <w:tcBorders/>
            <w:shd w:fill="FFFFFF" w:val="clear"/>
            <w:vAlign w:val="center"/>
          </w:tcPr>
          <w:p>
            <w:pPr>
              <w:pStyle w:val="TableContents"/>
              <w:bidi w:val="0"/>
              <w:spacing w:before="0" w:after="283"/>
              <w:ind w:left="0" w:right="0" w:hanging="200"/>
              <w:jc w:val="left"/>
              <w:rPr/>
            </w:pPr>
            <w:r>
              <w:rPr/>
              <w:t> </w:t>
            </w:r>
            <w:bookmarkStart w:id="55" w:name="xdx_408_eus-gaap--PreferredStockValue_i0"/>
            <w:bookmarkEnd w:id="55"/>
          </w:p>
        </w:tc>
      </w:tr>
      <w:tr>
        <w:trPr/>
        <w:tc>
          <w:tcPr>
            <w:tcW w:w="7247" w:type="dxa"/>
            <w:tcBorders/>
            <w:shd w:fill="EEEEEE" w:val="clear"/>
            <w:vAlign w:val="center"/>
          </w:tcPr>
          <w:p>
            <w:pPr>
              <w:pStyle w:val="TableContents"/>
              <w:bidi w:val="0"/>
              <w:spacing w:before="0" w:after="283"/>
              <w:jc w:val="left"/>
              <w:rPr/>
            </w:pPr>
            <w:r>
              <w:rPr/>
              <w:t>Preferred stock, $</w:t>
            </w:r>
            <w:bookmarkStart w:id="56" w:name="xdx_90D_eus-gaap--PreferredStockParOrSta"/>
            <w:bookmarkStart w:id="57" w:name="xdx_90E_eus-gaap--PreferredStockParOrSta"/>
            <w:bookmarkEnd w:id="56"/>
            <w:bookmarkEnd w:id="57"/>
            <w:r>
              <w:rPr/>
              <w:t xml:space="preserve">0.001 par value, </w:t>
            </w:r>
            <w:bookmarkStart w:id="58" w:name="xdx_905_eus-gaap--PreferredStockSharesAu"/>
            <w:bookmarkStart w:id="59" w:name="xdx_908_eus-gaap--PreferredStockSharesAu"/>
            <w:bookmarkEnd w:id="58"/>
            <w:bookmarkEnd w:id="59"/>
            <w:r>
              <w:rPr/>
              <w:t xml:space="preserve">5,000,000 shares authorized and </w:t>
            </w:r>
            <w:bookmarkStart w:id="60" w:name="xdx_90F_eus-gaap--PreferredStockSharesOu"/>
            <w:bookmarkStart w:id="61" w:name="xdx_90A_eus-gaap--PreferredStockSharesIs"/>
            <w:bookmarkStart w:id="62" w:name="xdx_900_eus-gaap--PreferredStockSharesOu"/>
            <w:bookmarkStart w:id="63" w:name="xdx_90F_eus-gaap--PreferredStockSharesIs"/>
            <w:bookmarkEnd w:id="60"/>
            <w:bookmarkEnd w:id="61"/>
            <w:bookmarkEnd w:id="62"/>
            <w:bookmarkEnd w:id="63"/>
            <w:r>
              <w:rPr/>
              <w:t>0 shares issued and outstanding</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w:t>
            </w:r>
          </w:p>
        </w:tc>
        <w:tc>
          <w:tcPr>
            <w:tcW w:w="111" w:type="dxa"/>
            <w:tcBorders/>
            <w:shd w:fill="EEEEEE" w:val="clear"/>
            <w:vAlign w:val="center"/>
          </w:tcPr>
          <w:p>
            <w:pPr>
              <w:pStyle w:val="TableContents"/>
              <w:bidi w:val="0"/>
              <w:spacing w:before="0" w:after="283"/>
              <w:ind w:left="0" w:right="0" w:hanging="200"/>
              <w:jc w:val="left"/>
              <w:rPr/>
            </w:pPr>
            <w:r>
              <w:rPr/>
              <w:t> </w:t>
            </w:r>
            <w:bookmarkStart w:id="64" w:name="xdx_405_eus-gaap--CommonStockValue_i01I_"/>
            <w:bookmarkEnd w:id="64"/>
          </w:p>
        </w:tc>
      </w:tr>
      <w:tr>
        <w:trPr/>
        <w:tc>
          <w:tcPr>
            <w:tcW w:w="7247" w:type="dxa"/>
            <w:tcBorders/>
            <w:shd w:fill="FFFFFF" w:val="clear"/>
            <w:vAlign w:val="center"/>
          </w:tcPr>
          <w:p>
            <w:pPr>
              <w:pStyle w:val="TableContents"/>
              <w:bidi w:val="0"/>
              <w:spacing w:before="0" w:after="283"/>
              <w:jc w:val="left"/>
              <w:rPr/>
            </w:pPr>
            <w:r>
              <w:rPr/>
              <w:t>Common stock, $</w:t>
            </w:r>
            <w:bookmarkStart w:id="65" w:name="xdx_902_eus-gaap--CommonStockParOrStated"/>
            <w:bookmarkStart w:id="66" w:name="xdx_905_eus-gaap--CommonStockParOrStated"/>
            <w:bookmarkEnd w:id="65"/>
            <w:bookmarkEnd w:id="66"/>
            <w:r>
              <w:rPr/>
              <w:t xml:space="preserve">0.001 par value, </w:t>
            </w:r>
            <w:bookmarkStart w:id="67" w:name="xdx_908_eus-gaap--CommonStockSharesAutho"/>
            <w:bookmarkStart w:id="68" w:name="xdx_902_eus-gaap--CommonStockSharesAutho"/>
            <w:bookmarkEnd w:id="67"/>
            <w:bookmarkEnd w:id="68"/>
            <w:r>
              <w:rPr/>
              <w:t xml:space="preserve">300,000,000 shares authorized and </w:t>
            </w:r>
            <w:bookmarkStart w:id="69" w:name="xdx_90C_eus-gaap--CommonStockSharesOutst"/>
            <w:bookmarkStart w:id="70" w:name="xdx_90B_eus-gaap--CommonStockSharesIssue"/>
            <w:bookmarkEnd w:id="69"/>
            <w:bookmarkEnd w:id="70"/>
            <w:r>
              <w:rPr/>
              <w:t xml:space="preserve">1,443,274 and </w:t>
            </w:r>
            <w:bookmarkStart w:id="71" w:name="xdx_90F_eus-gaap--CommonStockSharesOutst"/>
            <w:bookmarkStart w:id="72" w:name="xdx_907_eus-gaap--CommonStockSharesIssue"/>
            <w:bookmarkEnd w:id="71"/>
            <w:bookmarkEnd w:id="72"/>
            <w:r>
              <w:rPr/>
              <w:t>124,306 shares issued and outstanding, respectively</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1,443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124</w:t>
            </w:r>
          </w:p>
        </w:tc>
        <w:tc>
          <w:tcPr>
            <w:tcW w:w="111" w:type="dxa"/>
            <w:tcBorders/>
            <w:shd w:fill="FFFFFF" w:val="clear"/>
            <w:vAlign w:val="center"/>
          </w:tcPr>
          <w:p>
            <w:pPr>
              <w:pStyle w:val="TableContents"/>
              <w:bidi w:val="0"/>
              <w:spacing w:before="0" w:after="283"/>
              <w:jc w:val="left"/>
              <w:rPr/>
            </w:pPr>
            <w:r>
              <w:rPr/>
              <w:t> </w:t>
            </w:r>
            <w:bookmarkStart w:id="73" w:name="xdx_403_eus-gaap--AdditionalPaidInCapita"/>
            <w:bookmarkEnd w:id="73"/>
          </w:p>
        </w:tc>
      </w:tr>
      <w:tr>
        <w:trPr/>
        <w:tc>
          <w:tcPr>
            <w:tcW w:w="7247" w:type="dxa"/>
            <w:tcBorders/>
            <w:shd w:fill="EEEEEE" w:val="clear"/>
            <w:vAlign w:val="center"/>
          </w:tcPr>
          <w:p>
            <w:pPr>
              <w:pStyle w:val="TableContents"/>
              <w:bidi w:val="0"/>
              <w:spacing w:before="0" w:after="283"/>
              <w:jc w:val="left"/>
              <w:rPr/>
            </w:pPr>
            <w:r>
              <w:rPr/>
              <w:t>Additional paid-in capital</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71,347,360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7" w:type="dxa"/>
            <w:tcBorders/>
            <w:shd w:fill="EEEEEE" w:val="clear"/>
            <w:vAlign w:val="center"/>
          </w:tcPr>
          <w:p>
            <w:pPr>
              <w:pStyle w:val="TableContents"/>
              <w:bidi w:val="0"/>
              <w:spacing w:before="0" w:after="283"/>
              <w:jc w:val="right"/>
              <w:rPr/>
            </w:pPr>
            <w:r>
              <w:rPr/>
              <w:t>65,134,664</w:t>
            </w:r>
          </w:p>
        </w:tc>
        <w:tc>
          <w:tcPr>
            <w:tcW w:w="111" w:type="dxa"/>
            <w:tcBorders/>
            <w:shd w:fill="EEEEEE" w:val="clear"/>
            <w:vAlign w:val="center"/>
          </w:tcPr>
          <w:p>
            <w:pPr>
              <w:pStyle w:val="TableContents"/>
              <w:bidi w:val="0"/>
              <w:spacing w:before="0" w:after="283"/>
              <w:jc w:val="left"/>
              <w:rPr/>
            </w:pPr>
            <w:r>
              <w:rPr/>
              <w:t> </w:t>
            </w:r>
            <w:bookmarkStart w:id="74" w:name="xdx_409_eus-gaap--RetainedEarningsAccumu"/>
            <w:bookmarkEnd w:id="74"/>
          </w:p>
        </w:tc>
      </w:tr>
      <w:tr>
        <w:trPr/>
        <w:tc>
          <w:tcPr>
            <w:tcW w:w="7247" w:type="dxa"/>
            <w:tcBorders/>
            <w:shd w:fill="FFFFFF" w:val="clear"/>
            <w:vAlign w:val="center"/>
          </w:tcPr>
          <w:p>
            <w:pPr>
              <w:pStyle w:val="TableContents"/>
              <w:bidi w:val="0"/>
              <w:spacing w:before="0" w:after="283"/>
              <w:jc w:val="left"/>
              <w:rPr/>
            </w:pPr>
            <w:r>
              <w:rPr/>
              <w:t>Accumulated deficit</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(75,642,404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7" w:type="dxa"/>
            <w:tcBorders>
              <w:bottom w:val="single" w:sz="8" w:space="0" w:color="000000"/>
            </w:tcBorders>
            <w:shd w:fill="FFFFFF" w:val="clear"/>
            <w:tcMar>
              <w:bottom w:w="28" w:type="dxa"/>
            </w:tcMar>
            <w:vAlign w:val="center"/>
          </w:tcPr>
          <w:p>
            <w:pPr>
              <w:pStyle w:val="TableContents"/>
              <w:bidi w:val="0"/>
              <w:spacing w:before="0" w:after="283"/>
              <w:jc w:val="right"/>
              <w:rPr/>
            </w:pPr>
            <w:r>
              <w:rPr/>
              <w:t>(69,566,903</w:t>
            </w:r>
          </w:p>
        </w:tc>
        <w:tc>
          <w:tcPr>
            <w:tcW w:w="111" w:type="dxa"/>
            <w:tcBorders/>
            <w:shd w:fill="FFFFFF" w:val="clear"/>
            <w:vAlign w:val="center"/>
          </w:tcPr>
          <w:p>
            <w:pPr>
              <w:pStyle w:val="TableContents"/>
              <w:bidi w:val="0"/>
              <w:spacing w:before="0" w:after="283"/>
              <w:jc w:val="left"/>
              <w:rPr/>
            </w:pPr>
            <w:r>
              <w:rPr/>
              <w:t>)</w:t>
            </w:r>
            <w:bookmarkStart w:id="75" w:name="xdx_40E_eus-gaap--StockholdersEquity_i01"/>
            <w:bookmarkEnd w:id="75"/>
          </w:p>
        </w:tc>
      </w:tr>
      <w:tr>
        <w:trPr/>
        <w:tc>
          <w:tcPr>
            <w:tcW w:w="7247" w:type="dxa"/>
            <w:tcBorders/>
            <w:shd w:fill="EEEEEE" w:val="clear"/>
            <w:vAlign w:val="center"/>
          </w:tcPr>
          <w:p>
            <w:pPr>
              <w:pStyle w:val="TableContents"/>
              <w:bidi w:val="0"/>
              <w:spacing w:before="0" w:after="283"/>
              <w:jc w:val="left"/>
              <w:rPr/>
            </w:pPr>
            <w:r>
              <w:rPr/>
              <w:t>Total Stockholders' Equity (Deficit)</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(4,293,601</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7" w:type="dxa"/>
            <w:tcBorders>
              <w:bottom w:val="single" w:sz="8" w:space="0" w:color="000000"/>
            </w:tcBorders>
            <w:shd w:fill="EEEEEE" w:val="clear"/>
            <w:tcMar>
              <w:bottom w:w="28" w:type="dxa"/>
            </w:tcMar>
            <w:vAlign w:val="center"/>
          </w:tcPr>
          <w:p>
            <w:pPr>
              <w:pStyle w:val="TableContents"/>
              <w:bidi w:val="0"/>
              <w:spacing w:before="0" w:after="283"/>
              <w:jc w:val="right"/>
              <w:rPr/>
            </w:pPr>
            <w:r>
              <w:rPr/>
              <w:t>(4,432,115</w:t>
            </w:r>
          </w:p>
        </w:tc>
        <w:tc>
          <w:tcPr>
            <w:tcW w:w="111" w:type="dxa"/>
            <w:tcBorders/>
            <w:shd w:fill="EEEEEE" w:val="clear"/>
            <w:vAlign w:val="center"/>
          </w:tcPr>
          <w:p>
            <w:pPr>
              <w:pStyle w:val="TableContents"/>
              <w:bidi w:val="0"/>
              <w:spacing w:before="0" w:after="283"/>
              <w:jc w:val="left"/>
              <w:rPr/>
            </w:pPr>
            <w:r>
              <w:rPr/>
              <w:t>)</w:t>
            </w:r>
          </w:p>
        </w:tc>
      </w:tr>
      <w:tr>
        <w:trPr/>
        <w:tc>
          <w:tcPr>
            <w:tcW w:w="7247"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7" w:type="dxa"/>
            <w:tcBorders/>
            <w:shd w:fill="FFFFFF" w:val="clear"/>
            <w:vAlign w:val="center"/>
          </w:tcPr>
          <w:p>
            <w:pPr>
              <w:pStyle w:val="TableContents"/>
              <w:bidi w:val="0"/>
              <w:spacing w:before="0" w:after="283"/>
              <w:jc w:val="right"/>
              <w:rPr/>
            </w:pPr>
            <w:r>
              <w:rPr/>
              <w:t> </w:t>
            </w:r>
          </w:p>
        </w:tc>
        <w:tc>
          <w:tcPr>
            <w:tcW w:w="111" w:type="dxa"/>
            <w:tcBorders/>
            <w:shd w:fill="FFFFFF" w:val="clear"/>
            <w:vAlign w:val="center"/>
          </w:tcPr>
          <w:p>
            <w:pPr>
              <w:pStyle w:val="TableContents"/>
              <w:bidi w:val="0"/>
              <w:spacing w:before="0" w:after="283"/>
              <w:jc w:val="left"/>
              <w:rPr/>
            </w:pPr>
            <w:r>
              <w:rPr/>
              <w:t> </w:t>
            </w:r>
            <w:bookmarkStart w:id="76" w:name="xdx_401_eus-gaap--LiabilitiesAndStockhol"/>
            <w:bookmarkEnd w:id="76"/>
          </w:p>
        </w:tc>
      </w:tr>
      <w:tr>
        <w:trPr/>
        <w:tc>
          <w:tcPr>
            <w:tcW w:w="7247" w:type="dxa"/>
            <w:tcBorders/>
            <w:shd w:fill="EEEEEE" w:val="clear"/>
            <w:vAlign w:val="center"/>
          </w:tcPr>
          <w:p>
            <w:pPr>
              <w:pStyle w:val="TableContents"/>
              <w:bidi w:val="0"/>
              <w:spacing w:before="0" w:after="283"/>
              <w:jc w:val="left"/>
              <w:rPr/>
            </w:pPr>
            <w:r>
              <w:rPr/>
              <w:t>Total Liabilities and Stockholders' Equity (Deficit)</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2,469,269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7" w:type="dxa"/>
            <w:tcBorders>
              <w:bottom w:val="double" w:sz="6" w:space="0" w:color="000000"/>
            </w:tcBorders>
            <w:shd w:fill="EEEEEE" w:val="clear"/>
            <w:tcMar>
              <w:bottom w:w="28" w:type="dxa"/>
            </w:tcMar>
            <w:vAlign w:val="center"/>
          </w:tcPr>
          <w:p>
            <w:pPr>
              <w:pStyle w:val="TableContents"/>
              <w:bidi w:val="0"/>
              <w:spacing w:before="0" w:after="283"/>
              <w:jc w:val="right"/>
              <w:rPr/>
            </w:pPr>
            <w:r>
              <w:rPr/>
              <w:t>1,700,853</w:t>
            </w:r>
          </w:p>
        </w:tc>
        <w:tc>
          <w:tcPr>
            <w:tcW w:w="111" w:type="dxa"/>
            <w:tcBorders/>
            <w:shd w:fill="EEEEEE" w:val="clear"/>
            <w:vAlign w:val="center"/>
          </w:tcPr>
          <w:p>
            <w:pPr>
              <w:pStyle w:val="TableContents"/>
              <w:bidi w:val="0"/>
              <w:spacing w:before="0" w:after="283"/>
              <w:jc w:val="left"/>
              <w:rPr/>
            </w:pPr>
            <w:r>
              <w:rPr/>
              <w:t> </w:t>
            </w:r>
          </w:p>
        </w:tc>
      </w:tr>
    </w:tbl>
    <w:p>
      <w:pPr>
        <w:pStyle w:val="TextBody"/>
        <w:bidi w:val="0"/>
        <w:spacing w:before="0" w:after="283"/>
        <w:jc w:val="left"/>
        <w:rPr/>
      </w:pPr>
      <w:r>
        <w:rPr/>
        <w:t> </w:t>
      </w:r>
    </w:p>
    <w:p>
      <w:pPr>
        <w:pStyle w:val="TextBody"/>
        <w:bidi w:val="0"/>
        <w:spacing w:before="0" w:after="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See accompanying notes to the unaudited financial statements.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jc w:val="center"/>
        <w:rPr>
          <w:rFonts w:ascii="Times New Roman;Times;Serif" w:hAnsi="Times New Roman;Times;Serif"/>
          <w:b/>
          <w:i w:val="false"/>
          <w:caps w:val="false"/>
          <w:smallCaps w:val="false"/>
          <w:sz w:val="20"/>
        </w:rPr>
      </w:pPr>
      <w:bookmarkStart w:id="77" w:name="q2_005"/>
      <w:bookmarkEnd w:id="77"/>
      <w:r>
        <w:rPr>
          <w:rFonts w:ascii="Times New Roman;Times;Serif" w:hAnsi="Times New Roman;Times;Serif"/>
          <w:b/>
          <w:i w:val="false"/>
          <w:caps w:val="false"/>
          <w:smallCaps w:val="false"/>
          <w:sz w:val="20"/>
        </w:rPr>
        <w:t>Statements of Operations</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jc w:val="center"/>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78" w:name="xdx_30F_113_zPXolrwuY6kb"/>
      <w:bookmarkStart w:id="79" w:name="xdx_30F_113_zPXolrwuY6kb"/>
      <w:bookmarkEnd w:id="79"/>
    </w:p>
    <w:tbl>
      <w:tblPr>
        <w:tblW w:w="10055" w:type="dxa"/>
        <w:jc w:val="left"/>
        <w:tblInd w:w="0" w:type="dxa"/>
        <w:tblLayout w:type="fixed"/>
        <w:tblCellMar>
          <w:top w:w="0" w:type="dxa"/>
          <w:left w:w="0" w:type="dxa"/>
          <w:bottom w:w="0" w:type="dxa"/>
          <w:right w:w="0" w:type="dxa"/>
        </w:tblCellMar>
      </w:tblPr>
      <w:tblGrid>
        <w:gridCol w:w="4385"/>
        <w:gridCol w:w="60"/>
        <w:gridCol w:w="147"/>
        <w:gridCol w:w="1108"/>
        <w:gridCol w:w="99"/>
        <w:gridCol w:w="60"/>
        <w:gridCol w:w="147"/>
        <w:gridCol w:w="1108"/>
        <w:gridCol w:w="99"/>
        <w:gridCol w:w="60"/>
        <w:gridCol w:w="147"/>
        <w:gridCol w:w="1108"/>
        <w:gridCol w:w="99"/>
        <w:gridCol w:w="60"/>
        <w:gridCol w:w="146"/>
        <w:gridCol w:w="1107"/>
        <w:gridCol w:w="115"/>
      </w:tblGrid>
      <w:tr>
        <w:trPr/>
        <w:tc>
          <w:tcPr>
            <w:tcW w:w="438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47" w:type="dxa"/>
            <w:tcBorders/>
            <w:vAlign w:val="center"/>
          </w:tcPr>
          <w:p>
            <w:pPr>
              <w:pStyle w:val="TableContents"/>
              <w:bidi w:val="0"/>
              <w:spacing w:before="0" w:after="283"/>
              <w:jc w:val="left"/>
              <w:rPr/>
            </w:pPr>
            <w:r>
              <w:rPr/>
              <w:t> </w:t>
            </w:r>
            <w:bookmarkStart w:id="80" w:name="xdx_493_20240401__20240630_zvi0oHDdLeVj"/>
            <w:bookmarkEnd w:id="80"/>
          </w:p>
        </w:tc>
        <w:tc>
          <w:tcPr>
            <w:tcW w:w="1108" w:type="dxa"/>
            <w:tcBorders/>
            <w:vAlign w:val="center"/>
          </w:tcPr>
          <w:p>
            <w:pPr>
              <w:pStyle w:val="TableContents"/>
              <w:bidi w:val="0"/>
              <w:spacing w:before="0" w:after="283"/>
              <w:jc w:val="center"/>
              <w:rPr/>
            </w:pPr>
            <w:r>
              <w:rPr/>
              <w:t> </w:t>
            </w:r>
          </w:p>
        </w:tc>
        <w:tc>
          <w:tcPr>
            <w:tcW w:w="99"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 w:type="dxa"/>
            <w:tcBorders/>
            <w:vAlign w:val="center"/>
          </w:tcPr>
          <w:p>
            <w:pPr>
              <w:pStyle w:val="TableContents"/>
              <w:bidi w:val="0"/>
              <w:spacing w:before="0" w:after="283"/>
              <w:jc w:val="left"/>
              <w:rPr/>
            </w:pPr>
            <w:r>
              <w:rPr/>
              <w:t> </w:t>
            </w:r>
            <w:bookmarkStart w:id="81" w:name="xdx_49E_20230401__20230630_zKX9gpVgq6Ch"/>
            <w:bookmarkEnd w:id="81"/>
          </w:p>
        </w:tc>
        <w:tc>
          <w:tcPr>
            <w:tcW w:w="1108" w:type="dxa"/>
            <w:tcBorders/>
            <w:vAlign w:val="center"/>
          </w:tcPr>
          <w:p>
            <w:pPr>
              <w:pStyle w:val="TableContents"/>
              <w:bidi w:val="0"/>
              <w:spacing w:before="0" w:after="283"/>
              <w:jc w:val="center"/>
              <w:rPr/>
            </w:pPr>
            <w:r>
              <w:rPr/>
              <w:t> </w:t>
            </w:r>
          </w:p>
        </w:tc>
        <w:tc>
          <w:tcPr>
            <w:tcW w:w="99"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 w:type="dxa"/>
            <w:tcBorders/>
            <w:vAlign w:val="center"/>
          </w:tcPr>
          <w:p>
            <w:pPr>
              <w:pStyle w:val="TableContents"/>
              <w:bidi w:val="0"/>
              <w:spacing w:before="0" w:after="283"/>
              <w:jc w:val="left"/>
              <w:rPr/>
            </w:pPr>
            <w:r>
              <w:rPr/>
              <w:t> </w:t>
            </w:r>
            <w:bookmarkStart w:id="82" w:name="xdx_496_20240101_20240630"/>
            <w:bookmarkEnd w:id="82"/>
          </w:p>
        </w:tc>
        <w:tc>
          <w:tcPr>
            <w:tcW w:w="1108" w:type="dxa"/>
            <w:tcBorders/>
            <w:vAlign w:val="center"/>
          </w:tcPr>
          <w:p>
            <w:pPr>
              <w:pStyle w:val="TableContents"/>
              <w:bidi w:val="0"/>
              <w:spacing w:before="0" w:after="283"/>
              <w:jc w:val="center"/>
              <w:rPr/>
            </w:pPr>
            <w:r>
              <w:rPr/>
              <w:t> </w:t>
            </w:r>
          </w:p>
        </w:tc>
        <w:tc>
          <w:tcPr>
            <w:tcW w:w="99"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6" w:type="dxa"/>
            <w:tcBorders/>
            <w:vAlign w:val="center"/>
          </w:tcPr>
          <w:p>
            <w:pPr>
              <w:pStyle w:val="TableContents"/>
              <w:bidi w:val="0"/>
              <w:spacing w:before="0" w:after="283"/>
              <w:jc w:val="left"/>
              <w:rPr/>
            </w:pPr>
            <w:r>
              <w:rPr/>
              <w:t> </w:t>
            </w:r>
            <w:bookmarkStart w:id="83" w:name="xdx_494_20230101_20230630"/>
            <w:bookmarkEnd w:id="83"/>
          </w:p>
        </w:tc>
        <w:tc>
          <w:tcPr>
            <w:tcW w:w="1107" w:type="dxa"/>
            <w:tcBorders/>
            <w:vAlign w:val="center"/>
          </w:tcPr>
          <w:p>
            <w:pPr>
              <w:pStyle w:val="TableContents"/>
              <w:bidi w:val="0"/>
              <w:spacing w:before="0" w:after="283"/>
              <w:jc w:val="center"/>
              <w:rPr/>
            </w:pPr>
            <w:r>
              <w:rPr/>
              <w:t> </w:t>
            </w:r>
          </w:p>
        </w:tc>
        <w:tc>
          <w:tcPr>
            <w:tcW w:w="115"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54" w:type="dxa"/>
            <w:gridSpan w:val="3"/>
            <w:tcBorders/>
            <w:vAlign w:val="center"/>
          </w:tcPr>
          <w:p>
            <w:pPr>
              <w:pStyle w:val="TableContents"/>
              <w:bidi w:val="0"/>
              <w:jc w:val="center"/>
              <w:rPr/>
            </w:pPr>
            <w:r>
              <w:rPr/>
              <w:t>Three Months</w:t>
            </w:r>
          </w:p>
          <w:p>
            <w:pPr>
              <w:pStyle w:val="TableContents"/>
              <w:bidi w:val="0"/>
              <w:spacing w:before="0" w:after="283"/>
              <w:jc w:val="center"/>
              <w:rPr/>
            </w:pPr>
            <w:r>
              <w:rPr/>
              <w:t>Ended</w:t>
            </w:r>
          </w:p>
        </w:tc>
        <w:tc>
          <w:tcPr>
            <w:tcW w:w="60" w:type="dxa"/>
            <w:tcBorders/>
            <w:vAlign w:val="center"/>
          </w:tcPr>
          <w:p>
            <w:pPr>
              <w:pStyle w:val="TableContents"/>
              <w:bidi w:val="0"/>
              <w:spacing w:before="0" w:after="283"/>
              <w:jc w:val="left"/>
              <w:rPr/>
            </w:pPr>
            <w:r>
              <w:rPr/>
              <w:t> </w:t>
            </w:r>
          </w:p>
        </w:tc>
        <w:tc>
          <w:tcPr>
            <w:tcW w:w="1354" w:type="dxa"/>
            <w:gridSpan w:val="3"/>
            <w:tcBorders/>
            <w:vAlign w:val="center"/>
          </w:tcPr>
          <w:p>
            <w:pPr>
              <w:pStyle w:val="TableContents"/>
              <w:bidi w:val="0"/>
              <w:jc w:val="center"/>
              <w:rPr/>
            </w:pPr>
            <w:r>
              <w:rPr/>
              <w:t>Three Months</w:t>
            </w:r>
          </w:p>
          <w:p>
            <w:pPr>
              <w:pStyle w:val="TableContents"/>
              <w:bidi w:val="0"/>
              <w:spacing w:before="0" w:after="283"/>
              <w:jc w:val="center"/>
              <w:rPr/>
            </w:pPr>
            <w:r>
              <w:rPr/>
              <w:t>Ended</w:t>
            </w:r>
          </w:p>
        </w:tc>
        <w:tc>
          <w:tcPr>
            <w:tcW w:w="60" w:type="dxa"/>
            <w:tcBorders/>
            <w:vAlign w:val="center"/>
          </w:tcPr>
          <w:p>
            <w:pPr>
              <w:pStyle w:val="TableContents"/>
              <w:bidi w:val="0"/>
              <w:spacing w:before="0" w:after="283"/>
              <w:jc w:val="left"/>
              <w:rPr/>
            </w:pPr>
            <w:r>
              <w:rPr/>
              <w:t> </w:t>
            </w:r>
          </w:p>
        </w:tc>
        <w:tc>
          <w:tcPr>
            <w:tcW w:w="1354" w:type="dxa"/>
            <w:gridSpan w:val="3"/>
            <w:tcBorders/>
            <w:vAlign w:val="center"/>
          </w:tcPr>
          <w:p>
            <w:pPr>
              <w:pStyle w:val="TableContents"/>
              <w:bidi w:val="0"/>
              <w:jc w:val="center"/>
              <w:rPr/>
            </w:pPr>
            <w:r>
              <w:rPr/>
              <w:t>Six Months</w:t>
            </w:r>
          </w:p>
          <w:p>
            <w:pPr>
              <w:pStyle w:val="TableContents"/>
              <w:bidi w:val="0"/>
              <w:spacing w:before="0" w:after="283"/>
              <w:jc w:val="center"/>
              <w:rPr/>
            </w:pPr>
            <w:r>
              <w:rPr/>
              <w:t>Ended</w:t>
            </w:r>
          </w:p>
        </w:tc>
        <w:tc>
          <w:tcPr>
            <w:tcW w:w="60" w:type="dxa"/>
            <w:tcBorders/>
            <w:vAlign w:val="center"/>
          </w:tcPr>
          <w:p>
            <w:pPr>
              <w:pStyle w:val="TableContents"/>
              <w:bidi w:val="0"/>
              <w:spacing w:before="0" w:after="283"/>
              <w:jc w:val="left"/>
              <w:rPr/>
            </w:pPr>
            <w:r>
              <w:rPr/>
              <w:t> </w:t>
            </w:r>
          </w:p>
        </w:tc>
        <w:tc>
          <w:tcPr>
            <w:tcW w:w="1368" w:type="dxa"/>
            <w:gridSpan w:val="3"/>
            <w:tcBorders/>
            <w:vAlign w:val="center"/>
          </w:tcPr>
          <w:p>
            <w:pPr>
              <w:pStyle w:val="TableContents"/>
              <w:bidi w:val="0"/>
              <w:jc w:val="center"/>
              <w:rPr/>
            </w:pPr>
            <w:r>
              <w:rPr/>
              <w:t>Six Months</w:t>
            </w:r>
          </w:p>
          <w:p>
            <w:pPr>
              <w:pStyle w:val="TableContents"/>
              <w:bidi w:val="0"/>
              <w:spacing w:before="0" w:after="283"/>
              <w:jc w:val="center"/>
              <w:rPr/>
            </w:pPr>
            <w:r>
              <w:rPr/>
              <w:t>Ended</w:t>
            </w:r>
          </w:p>
        </w:tc>
      </w:tr>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54" w:type="dxa"/>
            <w:gridSpan w:val="3"/>
            <w:tcBorders>
              <w:bottom w:val="single" w:sz="8" w:space="0" w:color="000000"/>
            </w:tcBorders>
            <w:tcMar>
              <w:bottom w:w="28" w:type="dxa"/>
            </w:tcMar>
            <w:vAlign w:val="center"/>
          </w:tcPr>
          <w:p>
            <w:pPr>
              <w:pStyle w:val="TableContents"/>
              <w:bidi w:val="0"/>
              <w:spacing w:before="0" w:after="283"/>
              <w:jc w:val="center"/>
              <w:rPr/>
            </w:pPr>
            <w:r>
              <w:rPr/>
              <w:t>June 30, 2024</w:t>
            </w:r>
          </w:p>
        </w:tc>
        <w:tc>
          <w:tcPr>
            <w:tcW w:w="60" w:type="dxa"/>
            <w:tcBorders/>
            <w:vAlign w:val="center"/>
          </w:tcPr>
          <w:p>
            <w:pPr>
              <w:pStyle w:val="TableContents"/>
              <w:bidi w:val="0"/>
              <w:spacing w:before="0" w:after="283"/>
              <w:jc w:val="left"/>
              <w:rPr/>
            </w:pPr>
            <w:r>
              <w:rPr/>
              <w:t> </w:t>
            </w:r>
          </w:p>
        </w:tc>
        <w:tc>
          <w:tcPr>
            <w:tcW w:w="1354" w:type="dxa"/>
            <w:gridSpan w:val="3"/>
            <w:tcBorders>
              <w:bottom w:val="single" w:sz="8" w:space="0" w:color="000000"/>
            </w:tcBorders>
            <w:tcMar>
              <w:bottom w:w="28" w:type="dxa"/>
            </w:tcMar>
            <w:vAlign w:val="center"/>
          </w:tcPr>
          <w:p>
            <w:pPr>
              <w:pStyle w:val="TableContents"/>
              <w:bidi w:val="0"/>
              <w:spacing w:before="0" w:after="283"/>
              <w:jc w:val="center"/>
              <w:rPr/>
            </w:pPr>
            <w:r>
              <w:rPr/>
              <w:t>June 30, 2023</w:t>
            </w:r>
          </w:p>
        </w:tc>
        <w:tc>
          <w:tcPr>
            <w:tcW w:w="60" w:type="dxa"/>
            <w:tcBorders/>
            <w:vAlign w:val="center"/>
          </w:tcPr>
          <w:p>
            <w:pPr>
              <w:pStyle w:val="TableContents"/>
              <w:bidi w:val="0"/>
              <w:spacing w:before="0" w:after="283"/>
              <w:jc w:val="left"/>
              <w:rPr/>
            </w:pPr>
            <w:r>
              <w:rPr/>
              <w:t> </w:t>
            </w:r>
          </w:p>
        </w:tc>
        <w:tc>
          <w:tcPr>
            <w:tcW w:w="1354" w:type="dxa"/>
            <w:gridSpan w:val="3"/>
            <w:tcBorders>
              <w:bottom w:val="single" w:sz="8" w:space="0" w:color="000000"/>
            </w:tcBorders>
            <w:tcMar>
              <w:bottom w:w="28" w:type="dxa"/>
            </w:tcMar>
            <w:vAlign w:val="center"/>
          </w:tcPr>
          <w:p>
            <w:pPr>
              <w:pStyle w:val="TableContents"/>
              <w:bidi w:val="0"/>
              <w:spacing w:before="0" w:after="283"/>
              <w:jc w:val="center"/>
              <w:rPr/>
            </w:pPr>
            <w:r>
              <w:rPr/>
              <w:t>June 30, 2024</w:t>
            </w:r>
          </w:p>
        </w:tc>
        <w:tc>
          <w:tcPr>
            <w:tcW w:w="60" w:type="dxa"/>
            <w:tcBorders/>
            <w:vAlign w:val="center"/>
          </w:tcPr>
          <w:p>
            <w:pPr>
              <w:pStyle w:val="TableContents"/>
              <w:bidi w:val="0"/>
              <w:spacing w:before="0" w:after="283"/>
              <w:jc w:val="left"/>
              <w:rPr/>
            </w:pPr>
            <w:r>
              <w:rPr/>
              <w:t> </w:t>
            </w:r>
          </w:p>
        </w:tc>
        <w:tc>
          <w:tcPr>
            <w:tcW w:w="1368" w:type="dxa"/>
            <w:gridSpan w:val="3"/>
            <w:tcBorders>
              <w:bottom w:val="single" w:sz="8" w:space="0" w:color="000000"/>
            </w:tcBorders>
            <w:tcMar>
              <w:bottom w:w="28" w:type="dxa"/>
            </w:tcMar>
            <w:vAlign w:val="center"/>
          </w:tcPr>
          <w:p>
            <w:pPr>
              <w:pStyle w:val="TableContents"/>
              <w:bidi w:val="0"/>
              <w:spacing w:before="0" w:after="283"/>
              <w:jc w:val="center"/>
              <w:rPr/>
            </w:pPr>
            <w:r>
              <w:rPr/>
              <w:t>June 30, 2023</w:t>
            </w:r>
          </w:p>
        </w:tc>
      </w:tr>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54" w:type="dxa"/>
            <w:gridSpan w:val="3"/>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1354" w:type="dxa"/>
            <w:gridSpan w:val="3"/>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354" w:type="dxa"/>
            <w:gridSpan w:val="3"/>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1368" w:type="dxa"/>
            <w:gridSpan w:val="3"/>
            <w:tcBorders/>
            <w:vAlign w:val="center"/>
          </w:tcPr>
          <w:p>
            <w:pPr>
              <w:pStyle w:val="TableContents"/>
              <w:bidi w:val="0"/>
              <w:spacing w:before="0" w:after="283"/>
              <w:jc w:val="center"/>
              <w:rPr/>
            </w:pPr>
            <w:r>
              <w:rPr/>
              <w:t> </w:t>
            </w:r>
            <w:bookmarkStart w:id="84" w:name="xdx_40D_eus-gaap--OperatingExpensesAbstr"/>
            <w:bookmarkEnd w:id="84"/>
          </w:p>
        </w:tc>
      </w:tr>
      <w:tr>
        <w:trPr/>
        <w:tc>
          <w:tcPr>
            <w:tcW w:w="4385" w:type="dxa"/>
            <w:tcBorders/>
            <w:shd w:fill="EEEEEE" w:val="clear"/>
            <w:vAlign w:val="center"/>
          </w:tcPr>
          <w:p>
            <w:pPr>
              <w:pStyle w:val="TableContents"/>
              <w:bidi w:val="0"/>
              <w:spacing w:before="0" w:after="283"/>
              <w:jc w:val="left"/>
              <w:rPr/>
            </w:pPr>
            <w:r>
              <w:rPr/>
              <w:t>Operating expenses:</w:t>
            </w:r>
          </w:p>
        </w:tc>
        <w:tc>
          <w:tcPr>
            <w:tcW w:w="60" w:type="dxa"/>
            <w:tcBorders/>
            <w:shd w:fill="EEEEEE" w:val="clear"/>
            <w:vAlign w:val="center"/>
          </w:tcPr>
          <w:p>
            <w:pPr>
              <w:pStyle w:val="TableContents"/>
              <w:bidi w:val="0"/>
              <w:spacing w:before="0" w:after="283"/>
              <w:jc w:val="left"/>
              <w:rPr/>
            </w:pPr>
            <w:r>
              <w:rPr/>
              <w:t> </w:t>
            </w:r>
          </w:p>
        </w:tc>
        <w:tc>
          <w:tcPr>
            <w:tcW w:w="147"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 </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 </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 </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6" w:type="dxa"/>
            <w:tcBorders/>
            <w:shd w:fill="EEEEEE" w:val="clear"/>
            <w:vAlign w:val="center"/>
          </w:tcPr>
          <w:p>
            <w:pPr>
              <w:pStyle w:val="TableContents"/>
              <w:bidi w:val="0"/>
              <w:spacing w:before="0" w:after="283"/>
              <w:jc w:val="left"/>
              <w:rPr/>
            </w:pPr>
            <w:r>
              <w:rPr/>
              <w:t> </w:t>
            </w:r>
          </w:p>
        </w:tc>
        <w:tc>
          <w:tcPr>
            <w:tcW w:w="1107" w:type="dxa"/>
            <w:tcBorders/>
            <w:shd w:fill="EEEEEE" w:val="clear"/>
            <w:vAlign w:val="center"/>
          </w:tcPr>
          <w:p>
            <w:pPr>
              <w:pStyle w:val="TableContents"/>
              <w:bidi w:val="0"/>
              <w:spacing w:before="0" w:after="283"/>
              <w:jc w:val="right"/>
              <w:rPr/>
            </w:pPr>
            <w:r>
              <w:rPr/>
              <w:t> </w:t>
            </w:r>
          </w:p>
        </w:tc>
        <w:tc>
          <w:tcPr>
            <w:tcW w:w="115" w:type="dxa"/>
            <w:tcBorders/>
            <w:shd w:fill="EEEEEE" w:val="clear"/>
            <w:vAlign w:val="center"/>
          </w:tcPr>
          <w:p>
            <w:pPr>
              <w:pStyle w:val="TableContents"/>
              <w:bidi w:val="0"/>
              <w:spacing w:before="0" w:after="283"/>
              <w:jc w:val="left"/>
              <w:rPr/>
            </w:pPr>
            <w:r>
              <w:rPr/>
              <w:t> </w:t>
            </w:r>
            <w:bookmarkStart w:id="85" w:name="xdx_40E_eus-gaap--GeneralAndAdministrati"/>
            <w:bookmarkEnd w:id="85"/>
          </w:p>
        </w:tc>
      </w:tr>
      <w:tr>
        <w:trPr/>
        <w:tc>
          <w:tcPr>
            <w:tcW w:w="4385" w:type="dxa"/>
            <w:tcBorders/>
            <w:shd w:fill="FFFFFF" w:val="clear"/>
            <w:vAlign w:val="center"/>
          </w:tcPr>
          <w:p>
            <w:pPr>
              <w:pStyle w:val="TableContents"/>
              <w:bidi w:val="0"/>
              <w:spacing w:before="0" w:after="283"/>
              <w:jc w:val="left"/>
              <w:rPr/>
            </w:pPr>
            <w:r>
              <w:rPr/>
              <w:t>General and administrative</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w:t>
            </w:r>
          </w:p>
        </w:tc>
        <w:tc>
          <w:tcPr>
            <w:tcW w:w="1108" w:type="dxa"/>
            <w:tcBorders/>
            <w:shd w:fill="FFFFFF" w:val="clear"/>
            <w:vAlign w:val="center"/>
          </w:tcPr>
          <w:p>
            <w:pPr>
              <w:pStyle w:val="TableContents"/>
              <w:bidi w:val="0"/>
              <w:spacing w:before="0" w:after="283"/>
              <w:jc w:val="right"/>
              <w:rPr/>
            </w:pPr>
            <w:r>
              <w:rPr/>
              <w:t>1,411,573</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w:t>
            </w:r>
          </w:p>
        </w:tc>
        <w:tc>
          <w:tcPr>
            <w:tcW w:w="1108" w:type="dxa"/>
            <w:tcBorders/>
            <w:shd w:fill="FFFFFF" w:val="clear"/>
            <w:vAlign w:val="center"/>
          </w:tcPr>
          <w:p>
            <w:pPr>
              <w:pStyle w:val="TableContents"/>
              <w:bidi w:val="0"/>
              <w:spacing w:before="0" w:after="283"/>
              <w:jc w:val="right"/>
              <w:rPr/>
            </w:pPr>
            <w:r>
              <w:rPr/>
              <w:t>1,179,833</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w:t>
            </w:r>
          </w:p>
        </w:tc>
        <w:tc>
          <w:tcPr>
            <w:tcW w:w="1108" w:type="dxa"/>
            <w:tcBorders/>
            <w:shd w:fill="FFFFFF" w:val="clear"/>
            <w:vAlign w:val="center"/>
          </w:tcPr>
          <w:p>
            <w:pPr>
              <w:pStyle w:val="TableContents"/>
              <w:bidi w:val="0"/>
              <w:spacing w:before="0" w:after="283"/>
              <w:jc w:val="right"/>
              <w:rPr/>
            </w:pPr>
            <w:r>
              <w:rPr/>
              <w:t>2,526,015</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w:t>
            </w:r>
          </w:p>
        </w:tc>
        <w:tc>
          <w:tcPr>
            <w:tcW w:w="1107" w:type="dxa"/>
            <w:tcBorders/>
            <w:shd w:fill="FFFFFF" w:val="clear"/>
            <w:vAlign w:val="center"/>
          </w:tcPr>
          <w:p>
            <w:pPr>
              <w:pStyle w:val="TableContents"/>
              <w:bidi w:val="0"/>
              <w:spacing w:before="0" w:after="283"/>
              <w:jc w:val="right"/>
              <w:rPr/>
            </w:pPr>
            <w:r>
              <w:rPr/>
              <w:t>2,538,585</w:t>
            </w:r>
          </w:p>
        </w:tc>
        <w:tc>
          <w:tcPr>
            <w:tcW w:w="115" w:type="dxa"/>
            <w:tcBorders/>
            <w:shd w:fill="FFFFFF" w:val="clear"/>
            <w:vAlign w:val="center"/>
          </w:tcPr>
          <w:p>
            <w:pPr>
              <w:pStyle w:val="TableContents"/>
              <w:bidi w:val="0"/>
              <w:spacing w:before="0" w:after="283"/>
              <w:jc w:val="left"/>
              <w:rPr/>
            </w:pPr>
            <w:r>
              <w:rPr/>
              <w:t> </w:t>
            </w:r>
            <w:bookmarkStart w:id="86" w:name="xdx_406_eus-gaap--ResearchAndDevelopment"/>
            <w:bookmarkEnd w:id="86"/>
          </w:p>
        </w:tc>
      </w:tr>
      <w:tr>
        <w:trPr/>
        <w:tc>
          <w:tcPr>
            <w:tcW w:w="4385" w:type="dxa"/>
            <w:tcBorders/>
            <w:shd w:fill="EEEEEE" w:val="clear"/>
            <w:vAlign w:val="center"/>
          </w:tcPr>
          <w:p>
            <w:pPr>
              <w:pStyle w:val="TableContents"/>
              <w:bidi w:val="0"/>
              <w:spacing w:before="0" w:after="283"/>
              <w:jc w:val="left"/>
              <w:rPr/>
            </w:pPr>
            <w:r>
              <w:rPr/>
              <w:t>Research and development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1,116,562</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2,845,553</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3,546,974</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7" w:type="dxa"/>
            <w:tcBorders>
              <w:bottom w:val="single" w:sz="8" w:space="0" w:color="000000"/>
            </w:tcBorders>
            <w:shd w:fill="EEEEEE" w:val="clear"/>
            <w:tcMar>
              <w:bottom w:w="28" w:type="dxa"/>
            </w:tcMar>
            <w:vAlign w:val="center"/>
          </w:tcPr>
          <w:p>
            <w:pPr>
              <w:pStyle w:val="TableContents"/>
              <w:bidi w:val="0"/>
              <w:spacing w:before="0" w:after="283"/>
              <w:jc w:val="right"/>
              <w:rPr/>
            </w:pPr>
            <w:r>
              <w:rPr/>
              <w:t>6,413,312</w:t>
            </w:r>
          </w:p>
        </w:tc>
        <w:tc>
          <w:tcPr>
            <w:tcW w:w="115" w:type="dxa"/>
            <w:tcBorders/>
            <w:shd w:fill="EEEEEE" w:val="clear"/>
            <w:vAlign w:val="center"/>
          </w:tcPr>
          <w:p>
            <w:pPr>
              <w:pStyle w:val="TableContents"/>
              <w:bidi w:val="0"/>
              <w:spacing w:before="0" w:after="283"/>
              <w:jc w:val="left"/>
              <w:rPr/>
            </w:pPr>
            <w:r>
              <w:rPr/>
              <w:t> </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07" w:type="dxa"/>
            <w:tcBorders/>
            <w:shd w:fill="FFFFFF" w:val="clear"/>
            <w:vAlign w:val="center"/>
          </w:tcPr>
          <w:p>
            <w:pPr>
              <w:pStyle w:val="TableContents"/>
              <w:bidi w:val="0"/>
              <w:spacing w:before="0" w:after="283"/>
              <w:jc w:val="right"/>
              <w:rPr/>
            </w:pPr>
            <w:r>
              <w:rPr/>
              <w:t> </w:t>
            </w:r>
          </w:p>
        </w:tc>
        <w:tc>
          <w:tcPr>
            <w:tcW w:w="115" w:type="dxa"/>
            <w:tcBorders/>
            <w:shd w:fill="FFFFFF" w:val="clear"/>
            <w:vAlign w:val="center"/>
          </w:tcPr>
          <w:p>
            <w:pPr>
              <w:pStyle w:val="TableContents"/>
              <w:bidi w:val="0"/>
              <w:spacing w:before="0" w:after="283"/>
              <w:jc w:val="left"/>
              <w:rPr/>
            </w:pPr>
            <w:r>
              <w:rPr/>
              <w:t> </w:t>
            </w:r>
            <w:bookmarkStart w:id="87" w:name="xdx_408_eus-gaap--OperatingExpenses_i01T"/>
            <w:bookmarkEnd w:id="87"/>
          </w:p>
        </w:tc>
      </w:tr>
      <w:tr>
        <w:trPr/>
        <w:tc>
          <w:tcPr>
            <w:tcW w:w="4385" w:type="dxa"/>
            <w:tcBorders/>
            <w:shd w:fill="EEEEEE" w:val="clear"/>
            <w:vAlign w:val="center"/>
          </w:tcPr>
          <w:p>
            <w:pPr>
              <w:pStyle w:val="TableContents"/>
              <w:bidi w:val="0"/>
              <w:spacing w:before="0" w:after="283"/>
              <w:jc w:val="left"/>
              <w:rPr/>
            </w:pPr>
            <w:r>
              <w:rPr/>
              <w:t>Total operating expenses</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2,528,135</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4,025,386</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6,072,989</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7" w:type="dxa"/>
            <w:tcBorders>
              <w:bottom w:val="single" w:sz="8" w:space="0" w:color="000000"/>
            </w:tcBorders>
            <w:shd w:fill="EEEEEE" w:val="clear"/>
            <w:tcMar>
              <w:bottom w:w="28" w:type="dxa"/>
            </w:tcMar>
            <w:vAlign w:val="center"/>
          </w:tcPr>
          <w:p>
            <w:pPr>
              <w:pStyle w:val="TableContents"/>
              <w:bidi w:val="0"/>
              <w:spacing w:before="0" w:after="283"/>
              <w:jc w:val="right"/>
              <w:rPr/>
            </w:pPr>
            <w:r>
              <w:rPr/>
              <w:t>8,951,897</w:t>
            </w:r>
          </w:p>
        </w:tc>
        <w:tc>
          <w:tcPr>
            <w:tcW w:w="115" w:type="dxa"/>
            <w:tcBorders/>
            <w:shd w:fill="EEEEEE" w:val="clear"/>
            <w:vAlign w:val="center"/>
          </w:tcPr>
          <w:p>
            <w:pPr>
              <w:pStyle w:val="TableContents"/>
              <w:bidi w:val="0"/>
              <w:spacing w:before="0" w:after="283"/>
              <w:jc w:val="left"/>
              <w:rPr/>
            </w:pPr>
            <w:r>
              <w:rPr/>
              <w:t> </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07" w:type="dxa"/>
            <w:tcBorders/>
            <w:shd w:fill="FFFFFF" w:val="clear"/>
            <w:vAlign w:val="center"/>
          </w:tcPr>
          <w:p>
            <w:pPr>
              <w:pStyle w:val="TableContents"/>
              <w:bidi w:val="0"/>
              <w:spacing w:before="0" w:after="283"/>
              <w:jc w:val="right"/>
              <w:rPr/>
            </w:pPr>
            <w:r>
              <w:rPr/>
              <w:t> </w:t>
            </w:r>
          </w:p>
        </w:tc>
        <w:tc>
          <w:tcPr>
            <w:tcW w:w="115" w:type="dxa"/>
            <w:tcBorders/>
            <w:shd w:fill="FFFFFF" w:val="clear"/>
            <w:vAlign w:val="center"/>
          </w:tcPr>
          <w:p>
            <w:pPr>
              <w:pStyle w:val="TableContents"/>
              <w:bidi w:val="0"/>
              <w:spacing w:before="0" w:after="283"/>
              <w:jc w:val="left"/>
              <w:rPr/>
            </w:pPr>
            <w:r>
              <w:rPr/>
              <w:t> </w:t>
            </w:r>
            <w:bookmarkStart w:id="88" w:name="xdx_405_eus-gaap--OperatingIncomeLoss_i0"/>
            <w:bookmarkEnd w:id="88"/>
          </w:p>
        </w:tc>
      </w:tr>
      <w:tr>
        <w:trPr/>
        <w:tc>
          <w:tcPr>
            <w:tcW w:w="4385" w:type="dxa"/>
            <w:tcBorders/>
            <w:shd w:fill="EEEEEE" w:val="clear"/>
            <w:vAlign w:val="center"/>
          </w:tcPr>
          <w:p>
            <w:pPr>
              <w:pStyle w:val="TableContents"/>
              <w:bidi w:val="0"/>
              <w:spacing w:before="0" w:after="283"/>
              <w:jc w:val="left"/>
              <w:rPr/>
            </w:pPr>
            <w:r>
              <w:rPr/>
              <w:t>Loss from operations</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(2,528,135</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(4,025,386</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(6,072,989</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7" w:type="dxa"/>
            <w:tcBorders>
              <w:bottom w:val="single" w:sz="8" w:space="0" w:color="000000"/>
            </w:tcBorders>
            <w:shd w:fill="EEEEEE" w:val="clear"/>
            <w:tcMar>
              <w:bottom w:w="28" w:type="dxa"/>
            </w:tcMar>
            <w:vAlign w:val="center"/>
          </w:tcPr>
          <w:p>
            <w:pPr>
              <w:pStyle w:val="TableContents"/>
              <w:bidi w:val="0"/>
              <w:spacing w:before="0" w:after="283"/>
              <w:jc w:val="right"/>
              <w:rPr/>
            </w:pPr>
            <w:r>
              <w:rPr/>
              <w:t>(8,951,897</w:t>
            </w:r>
          </w:p>
        </w:tc>
        <w:tc>
          <w:tcPr>
            <w:tcW w:w="115"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07" w:type="dxa"/>
            <w:tcBorders/>
            <w:shd w:fill="FFFFFF" w:val="clear"/>
            <w:vAlign w:val="center"/>
          </w:tcPr>
          <w:p>
            <w:pPr>
              <w:pStyle w:val="TableContents"/>
              <w:bidi w:val="0"/>
              <w:spacing w:before="0" w:after="283"/>
              <w:jc w:val="right"/>
              <w:rPr/>
            </w:pPr>
            <w:r>
              <w:rPr/>
              <w:t> </w:t>
            </w:r>
          </w:p>
        </w:tc>
        <w:tc>
          <w:tcPr>
            <w:tcW w:w="115" w:type="dxa"/>
            <w:tcBorders/>
            <w:shd w:fill="FFFFFF" w:val="clear"/>
            <w:vAlign w:val="center"/>
          </w:tcPr>
          <w:p>
            <w:pPr>
              <w:pStyle w:val="TableContents"/>
              <w:bidi w:val="0"/>
              <w:spacing w:before="0" w:after="283"/>
              <w:jc w:val="left"/>
              <w:rPr/>
            </w:pPr>
            <w:r>
              <w:rPr/>
              <w:t> </w:t>
            </w:r>
            <w:bookmarkStart w:id="89" w:name="xdx_40A_eus-gaap--NonoperatingIncomeExpe"/>
            <w:bookmarkEnd w:id="89"/>
          </w:p>
        </w:tc>
      </w:tr>
      <w:tr>
        <w:trPr/>
        <w:tc>
          <w:tcPr>
            <w:tcW w:w="4385" w:type="dxa"/>
            <w:tcBorders/>
            <w:shd w:fill="EEEEEE" w:val="clear"/>
            <w:vAlign w:val="center"/>
          </w:tcPr>
          <w:p>
            <w:pPr>
              <w:pStyle w:val="TableContents"/>
              <w:bidi w:val="0"/>
              <w:spacing w:before="0" w:after="283"/>
              <w:jc w:val="left"/>
              <w:rPr/>
            </w:pPr>
            <w:r>
              <w:rPr/>
              <w:t>Other income (expenses):</w:t>
            </w:r>
          </w:p>
        </w:tc>
        <w:tc>
          <w:tcPr>
            <w:tcW w:w="60" w:type="dxa"/>
            <w:tcBorders/>
            <w:shd w:fill="EEEEEE" w:val="clear"/>
            <w:vAlign w:val="center"/>
          </w:tcPr>
          <w:p>
            <w:pPr>
              <w:pStyle w:val="TableContents"/>
              <w:bidi w:val="0"/>
              <w:spacing w:before="0" w:after="283"/>
              <w:jc w:val="left"/>
              <w:rPr/>
            </w:pPr>
            <w:r>
              <w:rPr/>
              <w:t> </w:t>
            </w:r>
          </w:p>
        </w:tc>
        <w:tc>
          <w:tcPr>
            <w:tcW w:w="147"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 </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 </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 </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6" w:type="dxa"/>
            <w:tcBorders/>
            <w:shd w:fill="EEEEEE" w:val="clear"/>
            <w:vAlign w:val="center"/>
          </w:tcPr>
          <w:p>
            <w:pPr>
              <w:pStyle w:val="TableContents"/>
              <w:bidi w:val="0"/>
              <w:spacing w:before="0" w:after="283"/>
              <w:jc w:val="left"/>
              <w:rPr/>
            </w:pPr>
            <w:r>
              <w:rPr/>
              <w:t> </w:t>
            </w:r>
          </w:p>
        </w:tc>
        <w:tc>
          <w:tcPr>
            <w:tcW w:w="1107" w:type="dxa"/>
            <w:tcBorders/>
            <w:shd w:fill="EEEEEE" w:val="clear"/>
            <w:vAlign w:val="center"/>
          </w:tcPr>
          <w:p>
            <w:pPr>
              <w:pStyle w:val="TableContents"/>
              <w:bidi w:val="0"/>
              <w:spacing w:before="0" w:after="283"/>
              <w:jc w:val="right"/>
              <w:rPr/>
            </w:pPr>
            <w:r>
              <w:rPr/>
              <w:t> </w:t>
            </w:r>
          </w:p>
        </w:tc>
        <w:tc>
          <w:tcPr>
            <w:tcW w:w="115" w:type="dxa"/>
            <w:tcBorders/>
            <w:shd w:fill="EEEEEE" w:val="clear"/>
            <w:vAlign w:val="center"/>
          </w:tcPr>
          <w:p>
            <w:pPr>
              <w:pStyle w:val="TableContents"/>
              <w:bidi w:val="0"/>
              <w:spacing w:before="0" w:after="283"/>
              <w:jc w:val="left"/>
              <w:rPr/>
            </w:pPr>
            <w:r>
              <w:rPr/>
              <w:t> </w:t>
            </w:r>
            <w:bookmarkStart w:id="90" w:name="xdx_40A_eus-gaap--OtherNonoperatingIncom"/>
            <w:bookmarkEnd w:id="90"/>
          </w:p>
        </w:tc>
      </w:tr>
      <w:tr>
        <w:trPr/>
        <w:tc>
          <w:tcPr>
            <w:tcW w:w="4385" w:type="dxa"/>
            <w:tcBorders/>
            <w:shd w:fill="FFFFFF" w:val="clear"/>
            <w:vAlign w:val="center"/>
          </w:tcPr>
          <w:p>
            <w:pPr>
              <w:pStyle w:val="TableContents"/>
              <w:bidi w:val="0"/>
              <w:spacing w:before="0" w:after="283"/>
              <w:jc w:val="left"/>
              <w:rPr/>
            </w:pPr>
            <w:r>
              <w:rPr/>
              <w:t>Interest income</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1,845</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7,802</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8,576</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07" w:type="dxa"/>
            <w:tcBorders/>
            <w:shd w:fill="FFFFFF" w:val="clear"/>
            <w:vAlign w:val="center"/>
          </w:tcPr>
          <w:p>
            <w:pPr>
              <w:pStyle w:val="TableContents"/>
              <w:bidi w:val="0"/>
              <w:spacing w:before="0" w:after="283"/>
              <w:jc w:val="right"/>
              <w:rPr/>
            </w:pPr>
            <w:r>
              <w:rPr/>
              <w:t>7,802</w:t>
            </w:r>
          </w:p>
        </w:tc>
        <w:tc>
          <w:tcPr>
            <w:tcW w:w="115" w:type="dxa"/>
            <w:tcBorders/>
            <w:shd w:fill="FFFFFF" w:val="clear"/>
            <w:vAlign w:val="center"/>
          </w:tcPr>
          <w:p>
            <w:pPr>
              <w:pStyle w:val="TableContents"/>
              <w:bidi w:val="0"/>
              <w:spacing w:before="0" w:after="283"/>
              <w:jc w:val="left"/>
              <w:rPr/>
            </w:pPr>
            <w:r>
              <w:rPr/>
              <w:t> </w:t>
            </w:r>
            <w:bookmarkStart w:id="91" w:name="xdx_400_eus-gaap--InterestExpenseNonoper"/>
            <w:bookmarkEnd w:id="91"/>
          </w:p>
        </w:tc>
      </w:tr>
      <w:tr>
        <w:trPr/>
        <w:tc>
          <w:tcPr>
            <w:tcW w:w="4385" w:type="dxa"/>
            <w:tcBorders/>
            <w:shd w:fill="EEEEEE" w:val="clear"/>
            <w:vAlign w:val="center"/>
          </w:tcPr>
          <w:p>
            <w:pPr>
              <w:pStyle w:val="TableContents"/>
              <w:bidi w:val="0"/>
              <w:spacing w:before="0" w:after="283"/>
              <w:jc w:val="left"/>
              <w:rPr/>
            </w:pPr>
            <w:r>
              <w:rPr/>
              <w:t>Interest expense</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(4,463</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(3,650</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(11,088</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7" w:type="dxa"/>
            <w:tcBorders>
              <w:bottom w:val="single" w:sz="8" w:space="0" w:color="000000"/>
            </w:tcBorders>
            <w:shd w:fill="EEEEEE" w:val="clear"/>
            <w:tcMar>
              <w:bottom w:w="28" w:type="dxa"/>
            </w:tcMar>
            <w:vAlign w:val="center"/>
          </w:tcPr>
          <w:p>
            <w:pPr>
              <w:pStyle w:val="TableContents"/>
              <w:bidi w:val="0"/>
              <w:spacing w:before="0" w:after="283"/>
              <w:jc w:val="right"/>
              <w:rPr/>
            </w:pPr>
            <w:r>
              <w:rPr/>
              <w:t>(9,086</w:t>
            </w:r>
          </w:p>
        </w:tc>
        <w:tc>
          <w:tcPr>
            <w:tcW w:w="115"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07" w:type="dxa"/>
            <w:tcBorders/>
            <w:shd w:fill="FFFFFF" w:val="clear"/>
            <w:vAlign w:val="center"/>
          </w:tcPr>
          <w:p>
            <w:pPr>
              <w:pStyle w:val="TableContents"/>
              <w:bidi w:val="0"/>
              <w:spacing w:before="0" w:after="283"/>
              <w:jc w:val="right"/>
              <w:rPr/>
            </w:pPr>
            <w:r>
              <w:rPr/>
              <w:t> </w:t>
            </w:r>
          </w:p>
        </w:tc>
        <w:tc>
          <w:tcPr>
            <w:tcW w:w="115" w:type="dxa"/>
            <w:tcBorders/>
            <w:shd w:fill="FFFFFF" w:val="clear"/>
            <w:vAlign w:val="center"/>
          </w:tcPr>
          <w:p>
            <w:pPr>
              <w:pStyle w:val="TableContents"/>
              <w:bidi w:val="0"/>
              <w:spacing w:before="0" w:after="283"/>
              <w:jc w:val="left"/>
              <w:rPr/>
            </w:pPr>
            <w:r>
              <w:rPr/>
              <w:t> </w:t>
            </w:r>
            <w:bookmarkStart w:id="92" w:name="xdx_408_eus-gaap--NonoperatingIncomeExpe"/>
            <w:bookmarkEnd w:id="92"/>
          </w:p>
        </w:tc>
      </w:tr>
      <w:tr>
        <w:trPr/>
        <w:tc>
          <w:tcPr>
            <w:tcW w:w="4385" w:type="dxa"/>
            <w:tcBorders/>
            <w:shd w:fill="EEEEEE" w:val="clear"/>
            <w:vAlign w:val="center"/>
          </w:tcPr>
          <w:p>
            <w:pPr>
              <w:pStyle w:val="TableContents"/>
              <w:bidi w:val="0"/>
              <w:spacing w:before="0" w:after="283"/>
              <w:jc w:val="left"/>
              <w:rPr/>
            </w:pPr>
            <w:r>
              <w:rPr/>
              <w:t>Total other income (expense)</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(2,618</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4,152</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pPr>
            <w:r>
              <w:rPr/>
              <w:t>(2,512</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7" w:type="dxa"/>
            <w:tcBorders>
              <w:bottom w:val="single" w:sz="8" w:space="0" w:color="000000"/>
            </w:tcBorders>
            <w:shd w:fill="EEEEEE" w:val="clear"/>
            <w:tcMar>
              <w:bottom w:w="28" w:type="dxa"/>
            </w:tcMar>
            <w:vAlign w:val="center"/>
          </w:tcPr>
          <w:p>
            <w:pPr>
              <w:pStyle w:val="TableContents"/>
              <w:bidi w:val="0"/>
              <w:spacing w:before="0" w:after="283"/>
              <w:jc w:val="right"/>
              <w:rPr/>
            </w:pPr>
            <w:r>
              <w:rPr/>
              <w:t>(1,284</w:t>
            </w:r>
          </w:p>
        </w:tc>
        <w:tc>
          <w:tcPr>
            <w:tcW w:w="115"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07" w:type="dxa"/>
            <w:tcBorders/>
            <w:shd w:fill="FFFFFF" w:val="clear"/>
            <w:vAlign w:val="center"/>
          </w:tcPr>
          <w:p>
            <w:pPr>
              <w:pStyle w:val="TableContents"/>
              <w:bidi w:val="0"/>
              <w:spacing w:before="0" w:after="283"/>
              <w:jc w:val="right"/>
              <w:rPr/>
            </w:pPr>
            <w:r>
              <w:rPr/>
              <w:t> </w:t>
            </w:r>
          </w:p>
        </w:tc>
        <w:tc>
          <w:tcPr>
            <w:tcW w:w="115" w:type="dxa"/>
            <w:tcBorders/>
            <w:shd w:fill="FFFFFF" w:val="clear"/>
            <w:vAlign w:val="center"/>
          </w:tcPr>
          <w:p>
            <w:pPr>
              <w:pStyle w:val="TableContents"/>
              <w:bidi w:val="0"/>
              <w:spacing w:before="0" w:after="283"/>
              <w:jc w:val="left"/>
              <w:rPr/>
            </w:pPr>
            <w:r>
              <w:rPr/>
              <w:t> </w:t>
            </w:r>
            <w:bookmarkStart w:id="93" w:name="xdx_40D_eus-gaap--NetIncomeLoss_iT_mtCz1"/>
            <w:bookmarkEnd w:id="93"/>
          </w:p>
        </w:tc>
      </w:tr>
      <w:tr>
        <w:trPr/>
        <w:tc>
          <w:tcPr>
            <w:tcW w:w="4385" w:type="dxa"/>
            <w:tcBorders/>
            <w:shd w:fill="EEEEEE" w:val="clear"/>
            <w:vAlign w:val="center"/>
          </w:tcPr>
          <w:p>
            <w:pPr>
              <w:pStyle w:val="TableContents"/>
              <w:bidi w:val="0"/>
              <w:spacing w:before="0" w:after="283"/>
              <w:jc w:val="left"/>
              <w:rPr/>
            </w:pPr>
            <w:r>
              <w:rPr/>
              <w:t>Net loss</w:t>
            </w:r>
          </w:p>
        </w:tc>
        <w:tc>
          <w:tcPr>
            <w:tcW w:w="60" w:type="dxa"/>
            <w:tcBorders/>
            <w:shd w:fill="EEEEEE" w:val="clear"/>
            <w:vAlign w:val="center"/>
          </w:tcPr>
          <w:p>
            <w:pPr>
              <w:pStyle w:val="TableContents"/>
              <w:bidi w:val="0"/>
              <w:spacing w:before="0" w:after="283"/>
              <w:jc w:val="left"/>
              <w:rPr/>
            </w:pPr>
            <w:r>
              <w:rPr/>
              <w:t> </w:t>
            </w:r>
          </w:p>
        </w:tc>
        <w:tc>
          <w:tcPr>
            <w:tcW w:w="14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pPr>
            <w:r>
              <w:rPr/>
              <w:t>(2,530,753</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pPr>
            <w:r>
              <w:rPr/>
              <w:t>(4,021,234</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pPr>
            <w:r>
              <w:rPr/>
              <w:t>(6,075,501</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6"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7" w:type="dxa"/>
            <w:tcBorders>
              <w:bottom w:val="double" w:sz="6" w:space="0" w:color="000000"/>
            </w:tcBorders>
            <w:shd w:fill="EEEEEE" w:val="clear"/>
            <w:tcMar>
              <w:bottom w:w="28" w:type="dxa"/>
            </w:tcMar>
            <w:vAlign w:val="center"/>
          </w:tcPr>
          <w:p>
            <w:pPr>
              <w:pStyle w:val="TableContents"/>
              <w:bidi w:val="0"/>
              <w:spacing w:before="0" w:after="283"/>
              <w:jc w:val="right"/>
              <w:rPr/>
            </w:pPr>
            <w:r>
              <w:rPr/>
              <w:t>(8,953,181</w:t>
            </w:r>
          </w:p>
        </w:tc>
        <w:tc>
          <w:tcPr>
            <w:tcW w:w="115"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pPr>
            <w:r>
              <w:rPr/>
              <w:t> </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07" w:type="dxa"/>
            <w:tcBorders/>
            <w:shd w:fill="FFFFFF" w:val="clear"/>
            <w:vAlign w:val="center"/>
          </w:tcPr>
          <w:p>
            <w:pPr>
              <w:pStyle w:val="TableContents"/>
              <w:bidi w:val="0"/>
              <w:spacing w:before="0" w:after="283"/>
              <w:jc w:val="right"/>
              <w:rPr/>
            </w:pPr>
            <w:r>
              <w:rPr/>
              <w:t> </w:t>
            </w:r>
          </w:p>
        </w:tc>
        <w:tc>
          <w:tcPr>
            <w:tcW w:w="115" w:type="dxa"/>
            <w:tcBorders/>
            <w:shd w:fill="FFFFFF" w:val="clear"/>
            <w:vAlign w:val="center"/>
          </w:tcPr>
          <w:p>
            <w:pPr>
              <w:pStyle w:val="TableContents"/>
              <w:bidi w:val="0"/>
              <w:spacing w:before="0" w:after="283"/>
              <w:jc w:val="left"/>
              <w:rPr/>
            </w:pPr>
            <w:r>
              <w:rPr/>
              <w:t> </w:t>
            </w:r>
            <w:bookmarkStart w:id="94" w:name="xdx_401_eus-gaap--EarningsPerShareBasic_"/>
            <w:bookmarkEnd w:id="94"/>
          </w:p>
        </w:tc>
      </w:tr>
      <w:tr>
        <w:trPr/>
        <w:tc>
          <w:tcPr>
            <w:tcW w:w="4385" w:type="dxa"/>
            <w:tcBorders/>
            <w:shd w:fill="EEEEEE" w:val="clear"/>
            <w:vAlign w:val="center"/>
          </w:tcPr>
          <w:p>
            <w:pPr>
              <w:pStyle w:val="TableContents"/>
              <w:bidi w:val="0"/>
              <w:spacing w:before="0" w:after="283"/>
              <w:jc w:val="left"/>
              <w:rPr/>
            </w:pPr>
            <w:r>
              <w:rPr/>
              <w:t>Loss per share - basic</w:t>
            </w:r>
          </w:p>
        </w:tc>
        <w:tc>
          <w:tcPr>
            <w:tcW w:w="60" w:type="dxa"/>
            <w:tcBorders/>
            <w:shd w:fill="EEEEEE" w:val="clear"/>
            <w:vAlign w:val="center"/>
          </w:tcPr>
          <w:p>
            <w:pPr>
              <w:pStyle w:val="TableContents"/>
              <w:bidi w:val="0"/>
              <w:spacing w:before="0" w:after="283"/>
              <w:jc w:val="left"/>
              <w:rPr/>
            </w:pPr>
            <w:r>
              <w:rPr/>
              <w:t> </w:t>
            </w:r>
          </w:p>
        </w:tc>
        <w:tc>
          <w:tcPr>
            <w:tcW w:w="14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pPr>
            <w:r>
              <w:rPr/>
              <w:t>(6.72</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pPr>
            <w:r>
              <w:rPr/>
              <w:t>(51.86</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pPr>
            <w:r>
              <w:rPr/>
              <w:t>(22.08</w:t>
            </w:r>
          </w:p>
        </w:tc>
        <w:tc>
          <w:tcPr>
            <w:tcW w:w="9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6"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7" w:type="dxa"/>
            <w:tcBorders>
              <w:bottom w:val="double" w:sz="6" w:space="0" w:color="000000"/>
            </w:tcBorders>
            <w:shd w:fill="EEEEEE" w:val="clear"/>
            <w:tcMar>
              <w:bottom w:w="28" w:type="dxa"/>
            </w:tcMar>
            <w:vAlign w:val="center"/>
          </w:tcPr>
          <w:p>
            <w:pPr>
              <w:pStyle w:val="TableContents"/>
              <w:bidi w:val="0"/>
              <w:spacing w:before="0" w:after="283"/>
              <w:jc w:val="right"/>
              <w:rPr/>
            </w:pPr>
            <w:r>
              <w:rPr/>
              <w:t>(154.70</w:t>
            </w:r>
          </w:p>
        </w:tc>
        <w:tc>
          <w:tcPr>
            <w:tcW w:w="115" w:type="dxa"/>
            <w:tcBorders/>
            <w:shd w:fill="EEEEEE" w:val="clear"/>
            <w:vAlign w:val="center"/>
          </w:tcPr>
          <w:p>
            <w:pPr>
              <w:pStyle w:val="TableContents"/>
              <w:bidi w:val="0"/>
              <w:spacing w:before="0" w:after="283"/>
              <w:jc w:val="left"/>
              <w:rPr/>
            </w:pPr>
            <w:r>
              <w:rPr/>
              <w:t>)</w:t>
            </w:r>
            <w:bookmarkStart w:id="95" w:name="xdx_403_eus-gaap--EarningsPerShareDilute"/>
            <w:bookmarkEnd w:id="95"/>
          </w:p>
        </w:tc>
      </w:tr>
      <w:tr>
        <w:trPr/>
        <w:tc>
          <w:tcPr>
            <w:tcW w:w="4385" w:type="dxa"/>
            <w:tcBorders/>
            <w:shd w:fill="FFFFFF" w:val="clear"/>
            <w:vAlign w:val="center"/>
          </w:tcPr>
          <w:p>
            <w:pPr>
              <w:pStyle w:val="TableContents"/>
              <w:bidi w:val="0"/>
              <w:spacing w:before="0" w:after="283"/>
              <w:jc w:val="left"/>
              <w:rPr/>
            </w:pPr>
            <w:r>
              <w:rPr/>
              <w:t>Loss per share - diluted</w:t>
            </w:r>
          </w:p>
        </w:tc>
        <w:tc>
          <w:tcPr>
            <w:tcW w:w="60" w:type="dxa"/>
            <w:tcBorders/>
            <w:shd w:fill="FFFFFF" w:val="clear"/>
            <w:vAlign w:val="center"/>
          </w:tcPr>
          <w:p>
            <w:pPr>
              <w:pStyle w:val="TableContents"/>
              <w:bidi w:val="0"/>
              <w:spacing w:before="0" w:after="283"/>
              <w:jc w:val="left"/>
              <w:rPr/>
            </w:pPr>
            <w:r>
              <w:rPr/>
              <w:t> </w:t>
            </w:r>
          </w:p>
        </w:tc>
        <w:tc>
          <w:tcPr>
            <w:tcW w:w="14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pPr>
            <w:r>
              <w:rPr/>
              <w:t>(6.72</w:t>
            </w:r>
          </w:p>
        </w:tc>
        <w:tc>
          <w:tcPr>
            <w:tcW w:w="99"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pPr>
            <w:r>
              <w:rPr/>
              <w:t>(51.86</w:t>
            </w:r>
          </w:p>
        </w:tc>
        <w:tc>
          <w:tcPr>
            <w:tcW w:w="99"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pPr>
            <w:r>
              <w:rPr/>
              <w:t>(22.08</w:t>
            </w:r>
          </w:p>
        </w:tc>
        <w:tc>
          <w:tcPr>
            <w:tcW w:w="99"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6"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107" w:type="dxa"/>
            <w:tcBorders>
              <w:bottom w:val="double" w:sz="6" w:space="0" w:color="000000"/>
            </w:tcBorders>
            <w:shd w:fill="FFFFFF" w:val="clear"/>
            <w:tcMar>
              <w:bottom w:w="28" w:type="dxa"/>
            </w:tcMar>
            <w:vAlign w:val="center"/>
          </w:tcPr>
          <w:p>
            <w:pPr>
              <w:pStyle w:val="TableContents"/>
              <w:bidi w:val="0"/>
              <w:spacing w:before="0" w:after="283"/>
              <w:jc w:val="right"/>
              <w:rPr/>
            </w:pPr>
            <w:r>
              <w:rPr/>
              <w:t>(154.70</w:t>
            </w:r>
          </w:p>
        </w:tc>
        <w:tc>
          <w:tcPr>
            <w:tcW w:w="115" w:type="dxa"/>
            <w:tcBorders/>
            <w:shd w:fill="FFFFFF" w:val="clear"/>
            <w:vAlign w:val="center"/>
          </w:tcPr>
          <w:p>
            <w:pPr>
              <w:pStyle w:val="TableContents"/>
              <w:bidi w:val="0"/>
              <w:spacing w:before="0" w:after="283"/>
              <w:jc w:val="left"/>
              <w:rPr/>
            </w:pPr>
            <w:r>
              <w:rPr/>
              <w:t>)</w:t>
            </w:r>
          </w:p>
        </w:tc>
      </w:tr>
      <w:tr>
        <w:trPr/>
        <w:tc>
          <w:tcPr>
            <w:tcW w:w="438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 </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 </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 </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6" w:type="dxa"/>
            <w:tcBorders/>
            <w:shd w:fill="EEEEEE" w:val="clear"/>
            <w:vAlign w:val="center"/>
          </w:tcPr>
          <w:p>
            <w:pPr>
              <w:pStyle w:val="TableContents"/>
              <w:bidi w:val="0"/>
              <w:spacing w:before="0" w:after="283"/>
              <w:jc w:val="left"/>
              <w:rPr/>
            </w:pPr>
            <w:r>
              <w:rPr/>
              <w:t> </w:t>
            </w:r>
          </w:p>
        </w:tc>
        <w:tc>
          <w:tcPr>
            <w:tcW w:w="1107" w:type="dxa"/>
            <w:tcBorders/>
            <w:shd w:fill="EEEEEE" w:val="clear"/>
            <w:vAlign w:val="center"/>
          </w:tcPr>
          <w:p>
            <w:pPr>
              <w:pStyle w:val="TableContents"/>
              <w:bidi w:val="0"/>
              <w:spacing w:before="0" w:after="283"/>
              <w:jc w:val="right"/>
              <w:rPr/>
            </w:pPr>
            <w:r>
              <w:rPr/>
              <w:t> </w:t>
            </w:r>
          </w:p>
        </w:tc>
        <w:tc>
          <w:tcPr>
            <w:tcW w:w="115" w:type="dxa"/>
            <w:tcBorders/>
            <w:shd w:fill="EEEEEE" w:val="clear"/>
            <w:vAlign w:val="center"/>
          </w:tcPr>
          <w:p>
            <w:pPr>
              <w:pStyle w:val="TableContents"/>
              <w:bidi w:val="0"/>
              <w:spacing w:before="0" w:after="283"/>
              <w:jc w:val="left"/>
              <w:rPr/>
            </w:pPr>
            <w:r>
              <w:rPr/>
              <w:t> </w:t>
            </w:r>
            <w:bookmarkStart w:id="96" w:name="xdx_401_eus-gaap--WeightedAverageNumberO"/>
            <w:bookmarkEnd w:id="96"/>
          </w:p>
        </w:tc>
      </w:tr>
      <w:tr>
        <w:trPr/>
        <w:tc>
          <w:tcPr>
            <w:tcW w:w="4385" w:type="dxa"/>
            <w:tcBorders/>
            <w:shd w:fill="FFFFFF" w:val="clear"/>
            <w:vAlign w:val="center"/>
          </w:tcPr>
          <w:p>
            <w:pPr>
              <w:pStyle w:val="TableContents"/>
              <w:bidi w:val="0"/>
              <w:spacing w:before="0" w:after="283"/>
              <w:jc w:val="left"/>
              <w:rPr/>
            </w:pPr>
            <w:r>
              <w:rPr/>
              <w:t>Weighted average shares outstanding - basic</w:t>
            </w:r>
          </w:p>
        </w:tc>
        <w:tc>
          <w:tcPr>
            <w:tcW w:w="60" w:type="dxa"/>
            <w:tcBorders/>
            <w:shd w:fill="FFFFFF" w:val="clear"/>
            <w:vAlign w:val="center"/>
          </w:tcPr>
          <w:p>
            <w:pPr>
              <w:pStyle w:val="TableContents"/>
              <w:bidi w:val="0"/>
              <w:spacing w:before="0" w:after="283"/>
              <w:jc w:val="left"/>
              <w:rPr/>
            </w:pPr>
            <w:r>
              <w:rPr/>
              <w:t> </w:t>
            </w:r>
          </w:p>
        </w:tc>
        <w:tc>
          <w:tcPr>
            <w:tcW w:w="147"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pPr>
            <w:r>
              <w:rPr/>
              <w:t>376,643</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pPr>
            <w:r>
              <w:rPr/>
              <w:t>77,547</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7"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pPr>
            <w:r>
              <w:rPr/>
              <w:t>275,113</w:t>
            </w:r>
          </w:p>
        </w:tc>
        <w:tc>
          <w:tcPr>
            <w:tcW w:w="9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7" w:type="dxa"/>
            <w:tcBorders>
              <w:bottom w:val="double" w:sz="6" w:space="0" w:color="000000"/>
            </w:tcBorders>
            <w:shd w:fill="FFFFFF" w:val="clear"/>
            <w:tcMar>
              <w:bottom w:w="28" w:type="dxa"/>
            </w:tcMar>
            <w:vAlign w:val="center"/>
          </w:tcPr>
          <w:p>
            <w:pPr>
              <w:pStyle w:val="TableContents"/>
              <w:bidi w:val="0"/>
              <w:spacing w:before="0" w:after="283"/>
              <w:jc w:val="right"/>
              <w:rPr/>
            </w:pPr>
            <w:r>
              <w:rPr/>
              <w:t>57,874</w:t>
            </w:r>
          </w:p>
        </w:tc>
        <w:tc>
          <w:tcPr>
            <w:tcW w:w="115" w:type="dxa"/>
            <w:tcBorders/>
            <w:shd w:fill="FFFFFF" w:val="clear"/>
            <w:vAlign w:val="center"/>
          </w:tcPr>
          <w:p>
            <w:pPr>
              <w:pStyle w:val="TableContents"/>
              <w:bidi w:val="0"/>
              <w:spacing w:before="0" w:after="283"/>
              <w:jc w:val="left"/>
              <w:rPr/>
            </w:pPr>
            <w:r>
              <w:rPr/>
              <w:t> </w:t>
            </w:r>
            <w:bookmarkStart w:id="97" w:name="xdx_402_eus-gaap--WeightedAverageNumberO"/>
            <w:bookmarkEnd w:id="97"/>
          </w:p>
        </w:tc>
      </w:tr>
      <w:tr>
        <w:trPr/>
        <w:tc>
          <w:tcPr>
            <w:tcW w:w="4385" w:type="dxa"/>
            <w:tcBorders/>
            <w:shd w:fill="EEEEEE" w:val="clear"/>
            <w:vAlign w:val="center"/>
          </w:tcPr>
          <w:p>
            <w:pPr>
              <w:pStyle w:val="TableContents"/>
              <w:bidi w:val="0"/>
              <w:spacing w:before="0" w:after="283"/>
              <w:jc w:val="left"/>
              <w:rPr/>
            </w:pPr>
            <w:r>
              <w:rPr/>
              <w:t>Weighted average shares outstanding - diluted</w:t>
            </w:r>
          </w:p>
        </w:tc>
        <w:tc>
          <w:tcPr>
            <w:tcW w:w="60" w:type="dxa"/>
            <w:tcBorders/>
            <w:shd w:fill="EEEEEE" w:val="clear"/>
            <w:vAlign w:val="center"/>
          </w:tcPr>
          <w:p>
            <w:pPr>
              <w:pStyle w:val="TableContents"/>
              <w:bidi w:val="0"/>
              <w:spacing w:before="0" w:after="283"/>
              <w:jc w:val="left"/>
              <w:rPr/>
            </w:pPr>
            <w:r>
              <w:rPr/>
              <w:t> </w:t>
            </w:r>
          </w:p>
        </w:tc>
        <w:tc>
          <w:tcPr>
            <w:tcW w:w="14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pPr>
            <w:r>
              <w:rPr/>
              <w:t>376,643</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pPr>
            <w:r>
              <w:rPr/>
              <w:t>77,547</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pPr>
            <w:r>
              <w:rPr/>
              <w:t>275,113</w:t>
            </w:r>
          </w:p>
        </w:tc>
        <w:tc>
          <w:tcPr>
            <w:tcW w:w="9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6"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7" w:type="dxa"/>
            <w:tcBorders>
              <w:bottom w:val="double" w:sz="6" w:space="0" w:color="000000"/>
            </w:tcBorders>
            <w:shd w:fill="EEEEEE" w:val="clear"/>
            <w:tcMar>
              <w:bottom w:w="28" w:type="dxa"/>
            </w:tcMar>
            <w:vAlign w:val="center"/>
          </w:tcPr>
          <w:p>
            <w:pPr>
              <w:pStyle w:val="TableContents"/>
              <w:bidi w:val="0"/>
              <w:spacing w:before="0" w:after="283"/>
              <w:jc w:val="right"/>
              <w:rPr/>
            </w:pPr>
            <w:r>
              <w:rPr/>
              <w:t>57,874</w:t>
            </w:r>
          </w:p>
        </w:tc>
        <w:tc>
          <w:tcPr>
            <w:tcW w:w="115" w:type="dxa"/>
            <w:tcBorders/>
            <w:shd w:fill="EEEEEE" w:val="clear"/>
            <w:vAlign w:val="center"/>
          </w:tcPr>
          <w:p>
            <w:pPr>
              <w:pStyle w:val="TableContents"/>
              <w:bidi w:val="0"/>
              <w:spacing w:before="0" w:after="283"/>
              <w:jc w:val="left"/>
              <w:rPr/>
            </w:pPr>
            <w:r>
              <w:rPr/>
              <w:t> </w:t>
            </w:r>
          </w:p>
        </w:tc>
      </w:tr>
    </w:tbl>
    <w:p>
      <w:pPr>
        <w:pStyle w:val="TextBody"/>
        <w:bidi w:val="0"/>
        <w:spacing w:before="0" w:after="283"/>
        <w:jc w:val="left"/>
        <w:rPr/>
      </w:pPr>
      <w:r>
        <w:rPr/>
        <w:t> </w:t>
      </w:r>
    </w:p>
    <w:p>
      <w:pPr>
        <w:pStyle w:val="TextBody"/>
        <w:bidi w:val="0"/>
        <w:spacing w:before="0" w:after="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unaudited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jc w:val="center"/>
        <w:rPr>
          <w:rFonts w:ascii="Times New Roman;Times;Serif" w:hAnsi="Times New Roman;Times;Serif"/>
          <w:b/>
          <w:i w:val="false"/>
          <w:caps w:val="false"/>
          <w:smallCaps w:val="false"/>
          <w:sz w:val="20"/>
        </w:rPr>
      </w:pPr>
      <w:bookmarkStart w:id="98" w:name="q2_006"/>
      <w:bookmarkEnd w:id="98"/>
      <w:r>
        <w:rPr>
          <w:rFonts w:ascii="Times New Roman;Times;Serif" w:hAnsi="Times New Roman;Times;Serif"/>
          <w:b/>
          <w:i w:val="false"/>
          <w:caps w:val="false"/>
          <w:smallCaps w:val="false"/>
          <w:sz w:val="20"/>
        </w:rPr>
        <w:t>Statements of Stockholders' Equity (Deficit)</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 the six months ended June 30, 2024 and 2023</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jc w:val="left"/>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99" w:name="xdx_306_114_zA2unaw6hXB6"/>
      <w:bookmarkStart w:id="100" w:name="xdx_306_114_zA2unaw6hXB6"/>
      <w:bookmarkEnd w:id="100"/>
    </w:p>
    <w:tbl>
      <w:tblPr>
        <w:tblW w:w="8494" w:type="dxa"/>
        <w:jc w:val="left"/>
        <w:tblInd w:w="0" w:type="dxa"/>
        <w:tblLayout w:type="fixed"/>
        <w:tblCellMar>
          <w:top w:w="0" w:type="dxa"/>
          <w:left w:w="0" w:type="dxa"/>
          <w:bottom w:w="0" w:type="dxa"/>
          <w:right w:w="0" w:type="dxa"/>
        </w:tblCellMar>
      </w:tblPr>
      <w:tblGrid>
        <w:gridCol w:w="3485"/>
        <w:gridCol w:w="60"/>
        <w:gridCol w:w="60"/>
        <w:gridCol w:w="740"/>
        <w:gridCol w:w="60"/>
        <w:gridCol w:w="60"/>
        <w:gridCol w:w="111"/>
        <w:gridCol w:w="432"/>
        <w:gridCol w:w="62"/>
        <w:gridCol w:w="60"/>
        <w:gridCol w:w="110"/>
        <w:gridCol w:w="830"/>
        <w:gridCol w:w="80"/>
        <w:gridCol w:w="60"/>
        <w:gridCol w:w="110"/>
        <w:gridCol w:w="890"/>
        <w:gridCol w:w="80"/>
        <w:gridCol w:w="60"/>
        <w:gridCol w:w="125"/>
        <w:gridCol w:w="911"/>
        <w:gridCol w:w="108"/>
      </w:tblGrid>
      <w:tr>
        <w:trPr/>
        <w:tc>
          <w:tcPr>
            <w:tcW w:w="348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74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1" w:type="dxa"/>
            <w:tcBorders/>
            <w:vAlign w:val="center"/>
          </w:tcPr>
          <w:p>
            <w:pPr>
              <w:pStyle w:val="TableContents"/>
              <w:bidi w:val="0"/>
              <w:spacing w:before="0" w:after="283"/>
              <w:jc w:val="left"/>
              <w:rPr/>
            </w:pPr>
            <w:r>
              <w:rPr/>
              <w:t> </w:t>
            </w:r>
            <w:bookmarkStart w:id="101" w:name="xdx_4B4_us-gaap--StatementEquityComponen"/>
            <w:bookmarkEnd w:id="101"/>
          </w:p>
        </w:tc>
        <w:tc>
          <w:tcPr>
            <w:tcW w:w="432" w:type="dxa"/>
            <w:tcBorders/>
            <w:vAlign w:val="center"/>
          </w:tcPr>
          <w:p>
            <w:pPr>
              <w:pStyle w:val="TableContents"/>
              <w:bidi w:val="0"/>
              <w:spacing w:before="0" w:after="283"/>
              <w:jc w:val="center"/>
              <w:rPr/>
            </w:pPr>
            <w:r>
              <w:rPr/>
              <w:t> </w:t>
            </w:r>
          </w:p>
        </w:tc>
        <w:tc>
          <w:tcPr>
            <w:tcW w:w="62"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 w:type="dxa"/>
            <w:tcBorders/>
            <w:vAlign w:val="center"/>
          </w:tcPr>
          <w:p>
            <w:pPr>
              <w:pStyle w:val="TableContents"/>
              <w:bidi w:val="0"/>
              <w:spacing w:before="0" w:after="283"/>
              <w:jc w:val="left"/>
              <w:rPr/>
            </w:pPr>
            <w:r>
              <w:rPr/>
              <w:t> </w:t>
            </w:r>
            <w:bookmarkStart w:id="102" w:name="xdx_4B1_us-gaap--StatementEquityComponen"/>
            <w:bookmarkEnd w:id="102"/>
          </w:p>
        </w:tc>
        <w:tc>
          <w:tcPr>
            <w:tcW w:w="830" w:type="dxa"/>
            <w:tcBorders/>
            <w:vAlign w:val="center"/>
          </w:tcPr>
          <w:p>
            <w:pPr>
              <w:pStyle w:val="TableContents"/>
              <w:bidi w:val="0"/>
              <w:spacing w:before="0" w:after="283"/>
              <w:jc w:val="center"/>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 w:type="dxa"/>
            <w:tcBorders/>
            <w:vAlign w:val="center"/>
          </w:tcPr>
          <w:p>
            <w:pPr>
              <w:pStyle w:val="TableContents"/>
              <w:bidi w:val="0"/>
              <w:spacing w:before="0" w:after="283"/>
              <w:jc w:val="left"/>
              <w:rPr/>
            </w:pPr>
            <w:r>
              <w:rPr/>
              <w:t> </w:t>
            </w:r>
            <w:bookmarkStart w:id="103" w:name="xdx_4B2_us-gaap--StatementEquityComponen"/>
            <w:bookmarkEnd w:id="103"/>
          </w:p>
        </w:tc>
        <w:tc>
          <w:tcPr>
            <w:tcW w:w="890" w:type="dxa"/>
            <w:tcBorders/>
            <w:vAlign w:val="center"/>
          </w:tcPr>
          <w:p>
            <w:pPr>
              <w:pStyle w:val="TableContents"/>
              <w:bidi w:val="0"/>
              <w:spacing w:before="0" w:after="283"/>
              <w:jc w:val="center"/>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5" w:type="dxa"/>
            <w:tcBorders/>
            <w:vAlign w:val="center"/>
          </w:tcPr>
          <w:p>
            <w:pPr>
              <w:pStyle w:val="TableContents"/>
              <w:bidi w:val="0"/>
              <w:spacing w:before="0" w:after="283"/>
              <w:jc w:val="left"/>
              <w:rPr/>
            </w:pPr>
            <w:r>
              <w:rPr/>
              <w:t> </w:t>
            </w:r>
            <w:bookmarkStart w:id="104" w:name="xdx_4B1_zyA6b1sm0Iga"/>
            <w:bookmarkEnd w:id="104"/>
          </w:p>
        </w:tc>
        <w:tc>
          <w:tcPr>
            <w:tcW w:w="911" w:type="dxa"/>
            <w:tcBorders/>
            <w:vAlign w:val="center"/>
          </w:tcPr>
          <w:p>
            <w:pPr>
              <w:pStyle w:val="TableContents"/>
              <w:bidi w:val="0"/>
              <w:spacing w:before="0" w:after="283"/>
              <w:jc w:val="center"/>
              <w:rPr/>
            </w:pPr>
            <w:r>
              <w:rPr/>
              <w:t> </w:t>
            </w:r>
          </w:p>
        </w:tc>
        <w:tc>
          <w:tcPr>
            <w:tcW w:w="108" w:type="dxa"/>
            <w:tcBorders/>
            <w:vAlign w:val="center"/>
          </w:tcPr>
          <w:p>
            <w:pPr>
              <w:pStyle w:val="TableContents"/>
              <w:bidi w:val="0"/>
              <w:spacing w:before="0" w:after="283"/>
              <w:jc w:val="left"/>
              <w:rPr/>
            </w:pPr>
            <w:r>
              <w:rPr/>
              <w:t> </w:t>
            </w:r>
          </w:p>
        </w:tc>
      </w:tr>
      <w:tr>
        <w:trPr/>
        <w:tc>
          <w:tcPr>
            <w:tcW w:w="348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860" w:type="dxa"/>
            <w:gridSpan w:val="3"/>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5" w:type="dxa"/>
            <w:gridSpan w:val="3"/>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020" w:type="dxa"/>
            <w:gridSpan w:val="3"/>
            <w:tcBorders/>
            <w:vAlign w:val="center"/>
          </w:tcPr>
          <w:p>
            <w:pPr>
              <w:pStyle w:val="TableContents"/>
              <w:bidi w:val="0"/>
              <w:spacing w:before="0" w:after="283"/>
              <w:jc w:val="center"/>
              <w:rPr>
                <w:sz w:val="18"/>
              </w:rPr>
            </w:pPr>
            <w:r>
              <w:rPr>
                <w:sz w:val="18"/>
              </w:rPr>
              <w:t>Additional</w:t>
            </w:r>
          </w:p>
        </w:tc>
        <w:tc>
          <w:tcPr>
            <w:tcW w:w="60" w:type="dxa"/>
            <w:tcBorders/>
            <w:vAlign w:val="center"/>
          </w:tcPr>
          <w:p>
            <w:pPr>
              <w:pStyle w:val="TableContents"/>
              <w:bidi w:val="0"/>
              <w:spacing w:before="0" w:after="283"/>
              <w:jc w:val="left"/>
              <w:rPr/>
            </w:pPr>
            <w:r>
              <w:rPr/>
              <w:t> </w:t>
            </w:r>
          </w:p>
        </w:tc>
        <w:tc>
          <w:tcPr>
            <w:tcW w:w="1080" w:type="dxa"/>
            <w:gridSpan w:val="3"/>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144" w:type="dxa"/>
            <w:gridSpan w:val="3"/>
            <w:tcBorders/>
            <w:vAlign w:val="center"/>
          </w:tcPr>
          <w:p>
            <w:pPr>
              <w:pStyle w:val="TableContents"/>
              <w:bidi w:val="0"/>
              <w:spacing w:before="0" w:after="283"/>
              <w:jc w:val="center"/>
              <w:rPr>
                <w:sz w:val="18"/>
              </w:rPr>
            </w:pPr>
            <w:r>
              <w:rPr>
                <w:sz w:val="18"/>
              </w:rPr>
              <w:t>Total</w:t>
            </w:r>
          </w:p>
        </w:tc>
      </w:tr>
      <w:tr>
        <w:trPr/>
        <w:tc>
          <w:tcPr>
            <w:tcW w:w="348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525" w:type="dxa"/>
            <w:gridSpan w:val="7"/>
            <w:tcBorders>
              <w:bottom w:val="single" w:sz="8" w:space="0" w:color="000000"/>
            </w:tcBorders>
            <w:tcMar>
              <w:bottom w:w="28" w:type="dxa"/>
            </w:tcMar>
            <w:vAlign w:val="center"/>
          </w:tcPr>
          <w:p>
            <w:pPr>
              <w:pStyle w:val="TableContents"/>
              <w:bidi w:val="0"/>
              <w:spacing w:before="0" w:after="283"/>
              <w:jc w:val="center"/>
              <w:rPr>
                <w:sz w:val="18"/>
              </w:rPr>
            </w:pPr>
            <w:r>
              <w:rPr>
                <w:sz w:val="18"/>
              </w:rPr>
              <w:t>Common Stock</w:t>
            </w:r>
          </w:p>
        </w:tc>
        <w:tc>
          <w:tcPr>
            <w:tcW w:w="60" w:type="dxa"/>
            <w:tcBorders/>
            <w:vAlign w:val="center"/>
          </w:tcPr>
          <w:p>
            <w:pPr>
              <w:pStyle w:val="TableContents"/>
              <w:bidi w:val="0"/>
              <w:spacing w:before="0" w:after="283"/>
              <w:jc w:val="left"/>
              <w:rPr/>
            </w:pPr>
            <w:r>
              <w:rPr/>
              <w:t> </w:t>
            </w:r>
          </w:p>
        </w:tc>
        <w:tc>
          <w:tcPr>
            <w:tcW w:w="1020" w:type="dxa"/>
            <w:gridSpan w:val="3"/>
            <w:tcBorders/>
            <w:vAlign w:val="center"/>
          </w:tcPr>
          <w:p>
            <w:pPr>
              <w:pStyle w:val="TableContents"/>
              <w:bidi w:val="0"/>
              <w:spacing w:before="0" w:after="283"/>
              <w:jc w:val="center"/>
              <w:rPr>
                <w:sz w:val="18"/>
              </w:rPr>
            </w:pPr>
            <w:r>
              <w:rPr>
                <w:sz w:val="18"/>
              </w:rPr>
              <w:t>Paid-in</w:t>
            </w:r>
          </w:p>
        </w:tc>
        <w:tc>
          <w:tcPr>
            <w:tcW w:w="60" w:type="dxa"/>
            <w:tcBorders/>
            <w:vAlign w:val="center"/>
          </w:tcPr>
          <w:p>
            <w:pPr>
              <w:pStyle w:val="TableContents"/>
              <w:bidi w:val="0"/>
              <w:spacing w:before="0" w:after="283"/>
              <w:jc w:val="left"/>
              <w:rPr/>
            </w:pPr>
            <w:r>
              <w:rPr/>
              <w:t> </w:t>
            </w:r>
          </w:p>
        </w:tc>
        <w:tc>
          <w:tcPr>
            <w:tcW w:w="1080" w:type="dxa"/>
            <w:gridSpan w:val="3"/>
            <w:tcBorders/>
            <w:vAlign w:val="center"/>
          </w:tcPr>
          <w:p>
            <w:pPr>
              <w:pStyle w:val="TableContents"/>
              <w:bidi w:val="0"/>
              <w:spacing w:before="0" w:after="283"/>
              <w:jc w:val="center"/>
              <w:rPr>
                <w:sz w:val="18"/>
              </w:rPr>
            </w:pPr>
            <w:r>
              <w:rPr>
                <w:sz w:val="18"/>
              </w:rPr>
              <w:t>Accumulated</w:t>
            </w:r>
          </w:p>
        </w:tc>
        <w:tc>
          <w:tcPr>
            <w:tcW w:w="60" w:type="dxa"/>
            <w:tcBorders/>
            <w:vAlign w:val="center"/>
          </w:tcPr>
          <w:p>
            <w:pPr>
              <w:pStyle w:val="TableContents"/>
              <w:bidi w:val="0"/>
              <w:spacing w:before="0" w:after="283"/>
              <w:jc w:val="left"/>
              <w:rPr/>
            </w:pPr>
            <w:r>
              <w:rPr/>
              <w:t> </w:t>
            </w:r>
          </w:p>
        </w:tc>
        <w:tc>
          <w:tcPr>
            <w:tcW w:w="1144" w:type="dxa"/>
            <w:gridSpan w:val="3"/>
            <w:tcBorders/>
            <w:vAlign w:val="center"/>
          </w:tcPr>
          <w:p>
            <w:pPr>
              <w:pStyle w:val="TableContents"/>
              <w:bidi w:val="0"/>
              <w:spacing w:before="0" w:after="283"/>
              <w:jc w:val="center"/>
              <w:rPr>
                <w:sz w:val="18"/>
              </w:rPr>
            </w:pPr>
            <w:r>
              <w:rPr>
                <w:sz w:val="18"/>
              </w:rPr>
              <w:t>Stockholders'</w:t>
            </w:r>
          </w:p>
        </w:tc>
      </w:tr>
      <w:tr>
        <w:trPr/>
        <w:tc>
          <w:tcPr>
            <w:tcW w:w="348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860" w:type="dxa"/>
            <w:gridSpan w:val="3"/>
            <w:tcBorders>
              <w:bottom w:val="single" w:sz="8" w:space="0" w:color="000000"/>
            </w:tcBorders>
            <w:tcMar>
              <w:bottom w:w="28" w:type="dxa"/>
            </w:tcMar>
            <w:vAlign w:val="center"/>
          </w:tcPr>
          <w:p>
            <w:pPr>
              <w:pStyle w:val="TableContents"/>
              <w:bidi w:val="0"/>
              <w:spacing w:before="0" w:after="283"/>
              <w:jc w:val="center"/>
              <w:rPr>
                <w:sz w:val="18"/>
              </w:rPr>
            </w:pPr>
            <w:r>
              <w:rPr>
                <w:sz w:val="18"/>
              </w:rPr>
              <w:t>Shares</w:t>
            </w:r>
          </w:p>
        </w:tc>
        <w:tc>
          <w:tcPr>
            <w:tcW w:w="60" w:type="dxa"/>
            <w:tcBorders/>
            <w:vAlign w:val="center"/>
          </w:tcPr>
          <w:p>
            <w:pPr>
              <w:pStyle w:val="TableContents"/>
              <w:bidi w:val="0"/>
              <w:spacing w:before="0" w:after="283"/>
              <w:jc w:val="left"/>
              <w:rPr/>
            </w:pPr>
            <w:r>
              <w:rPr/>
              <w:t> </w:t>
            </w:r>
          </w:p>
        </w:tc>
        <w:tc>
          <w:tcPr>
            <w:tcW w:w="605" w:type="dxa"/>
            <w:gridSpan w:val="3"/>
            <w:tcBorders>
              <w:bottom w:val="single" w:sz="8" w:space="0" w:color="000000"/>
            </w:tcBorders>
            <w:tcMar>
              <w:bottom w:w="28" w:type="dxa"/>
            </w:tcMar>
            <w:vAlign w:val="center"/>
          </w:tcPr>
          <w:p>
            <w:pPr>
              <w:pStyle w:val="TableContents"/>
              <w:bidi w:val="0"/>
              <w:spacing w:before="0" w:after="283"/>
              <w:jc w:val="center"/>
              <w:rPr>
                <w:sz w:val="18"/>
              </w:rPr>
            </w:pPr>
            <w:r>
              <w:rPr>
                <w:sz w:val="18"/>
              </w:rPr>
              <w:t>Amount</w:t>
            </w:r>
          </w:p>
        </w:tc>
        <w:tc>
          <w:tcPr>
            <w:tcW w:w="60" w:type="dxa"/>
            <w:tcBorders/>
            <w:vAlign w:val="center"/>
          </w:tcPr>
          <w:p>
            <w:pPr>
              <w:pStyle w:val="TableContents"/>
              <w:bidi w:val="0"/>
              <w:spacing w:before="0" w:after="283"/>
              <w:jc w:val="left"/>
              <w:rPr/>
            </w:pPr>
            <w:r>
              <w:rPr/>
              <w:t> </w:t>
            </w:r>
          </w:p>
        </w:tc>
        <w:tc>
          <w:tcPr>
            <w:tcW w:w="1020" w:type="dxa"/>
            <w:gridSpan w:val="3"/>
            <w:tcBorders>
              <w:bottom w:val="single" w:sz="8" w:space="0" w:color="000000"/>
            </w:tcBorders>
            <w:tcMar>
              <w:bottom w:w="28" w:type="dxa"/>
            </w:tcMar>
            <w:vAlign w:val="center"/>
          </w:tcPr>
          <w:p>
            <w:pPr>
              <w:pStyle w:val="TableContents"/>
              <w:bidi w:val="0"/>
              <w:spacing w:before="0" w:after="283"/>
              <w:jc w:val="center"/>
              <w:rPr>
                <w:sz w:val="18"/>
              </w:rPr>
            </w:pPr>
            <w:r>
              <w:rPr>
                <w:sz w:val="18"/>
              </w:rPr>
              <w:t>Capital</w:t>
            </w:r>
          </w:p>
        </w:tc>
        <w:tc>
          <w:tcPr>
            <w:tcW w:w="60" w:type="dxa"/>
            <w:tcBorders/>
            <w:vAlign w:val="center"/>
          </w:tcPr>
          <w:p>
            <w:pPr>
              <w:pStyle w:val="TableContents"/>
              <w:bidi w:val="0"/>
              <w:spacing w:before="0" w:after="283"/>
              <w:jc w:val="left"/>
              <w:rPr/>
            </w:pPr>
            <w:r>
              <w:rPr/>
              <w:t> </w:t>
            </w:r>
          </w:p>
        </w:tc>
        <w:tc>
          <w:tcPr>
            <w:tcW w:w="1080" w:type="dxa"/>
            <w:gridSpan w:val="3"/>
            <w:tcBorders>
              <w:bottom w:val="single" w:sz="8" w:space="0" w:color="000000"/>
            </w:tcBorders>
            <w:tcMar>
              <w:bottom w:w="28" w:type="dxa"/>
            </w:tcMar>
            <w:vAlign w:val="center"/>
          </w:tcPr>
          <w:p>
            <w:pPr>
              <w:pStyle w:val="TableContents"/>
              <w:bidi w:val="0"/>
              <w:spacing w:before="0" w:after="283"/>
              <w:jc w:val="center"/>
              <w:rPr>
                <w:sz w:val="18"/>
              </w:rPr>
            </w:pPr>
            <w:r>
              <w:rPr>
                <w:sz w:val="18"/>
              </w:rPr>
              <w:t>Deficit</w:t>
            </w:r>
          </w:p>
        </w:tc>
        <w:tc>
          <w:tcPr>
            <w:tcW w:w="60" w:type="dxa"/>
            <w:tcBorders/>
            <w:vAlign w:val="center"/>
          </w:tcPr>
          <w:p>
            <w:pPr>
              <w:pStyle w:val="TableContents"/>
              <w:bidi w:val="0"/>
              <w:spacing w:before="0" w:after="283"/>
              <w:jc w:val="left"/>
              <w:rPr/>
            </w:pPr>
            <w:r>
              <w:rPr/>
              <w:t> </w:t>
            </w:r>
          </w:p>
        </w:tc>
        <w:tc>
          <w:tcPr>
            <w:tcW w:w="1144" w:type="dxa"/>
            <w:gridSpan w:val="3"/>
            <w:tcBorders>
              <w:bottom w:val="single" w:sz="8" w:space="0" w:color="000000"/>
            </w:tcBorders>
            <w:tcMar>
              <w:bottom w:w="28" w:type="dxa"/>
            </w:tcMar>
            <w:vAlign w:val="center"/>
          </w:tcPr>
          <w:p>
            <w:pPr>
              <w:pStyle w:val="TableContents"/>
              <w:bidi w:val="0"/>
              <w:spacing w:before="0" w:after="283"/>
              <w:jc w:val="center"/>
              <w:rPr>
                <w:sz w:val="18"/>
              </w:rPr>
            </w:pPr>
            <w:r>
              <w:rPr>
                <w:sz w:val="18"/>
              </w:rPr>
              <w:t>Equity (Deficit)</w:t>
            </w:r>
          </w:p>
        </w:tc>
      </w:tr>
      <w:tr>
        <w:trPr/>
        <w:tc>
          <w:tcPr>
            <w:tcW w:w="348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860" w:type="dxa"/>
            <w:gridSpan w:val="3"/>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5" w:type="dxa"/>
            <w:gridSpan w:val="3"/>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020" w:type="dxa"/>
            <w:gridSpan w:val="3"/>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080" w:type="dxa"/>
            <w:gridSpan w:val="3"/>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144" w:type="dxa"/>
            <w:gridSpan w:val="3"/>
            <w:tcBorders/>
            <w:vAlign w:val="center"/>
          </w:tcPr>
          <w:p>
            <w:pPr>
              <w:pStyle w:val="TableContents"/>
              <w:bidi w:val="0"/>
              <w:spacing w:before="0" w:after="283"/>
              <w:jc w:val="center"/>
              <w:rPr/>
            </w:pPr>
            <w:r>
              <w:rPr/>
              <w:t> </w:t>
            </w:r>
            <w:bookmarkStart w:id="105" w:name="xdx_437_c20240101__20240331_eus-gaap--St"/>
            <w:bookmarkEnd w:id="105"/>
          </w:p>
        </w:tc>
      </w:tr>
      <w:tr>
        <w:trPr/>
        <w:tc>
          <w:tcPr>
            <w:tcW w:w="3485" w:type="dxa"/>
            <w:tcBorders/>
            <w:shd w:fill="EEEEEE" w:val="clear"/>
            <w:vAlign w:val="center"/>
          </w:tcPr>
          <w:p>
            <w:pPr>
              <w:pStyle w:val="TableContents"/>
              <w:bidi w:val="0"/>
              <w:spacing w:before="0" w:after="283"/>
              <w:jc w:val="left"/>
              <w:rPr>
                <w:sz w:val="18"/>
              </w:rPr>
            </w:pPr>
            <w:r>
              <w:rPr>
                <w:sz w:val="18"/>
              </w:rPr>
              <w:t>Balance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06" w:name="xdx_98D_eus-gaap--SharesOutstanding_iS_c"/>
            <w:bookmarkEnd w:id="106"/>
          </w:p>
        </w:tc>
        <w:tc>
          <w:tcPr>
            <w:tcW w:w="740" w:type="dxa"/>
            <w:tcBorders/>
            <w:shd w:fill="EEEEEE" w:val="clear"/>
            <w:vAlign w:val="center"/>
          </w:tcPr>
          <w:p>
            <w:pPr>
              <w:pStyle w:val="TableContents"/>
              <w:bidi w:val="0"/>
              <w:spacing w:before="0" w:after="283"/>
              <w:jc w:val="right"/>
              <w:rPr>
                <w:sz w:val="18"/>
              </w:rPr>
            </w:pPr>
            <w:r>
              <w:rPr>
                <w:sz w:val="18"/>
              </w:rPr>
              <w:t>124,306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sz w:val="18"/>
              </w:rPr>
            </w:pPr>
            <w:r>
              <w:rPr>
                <w:sz w:val="18"/>
              </w:rPr>
              <w:t>$</w:t>
            </w:r>
          </w:p>
        </w:tc>
        <w:tc>
          <w:tcPr>
            <w:tcW w:w="432" w:type="dxa"/>
            <w:tcBorders/>
            <w:shd w:fill="EEEEEE" w:val="clear"/>
            <w:vAlign w:val="center"/>
          </w:tcPr>
          <w:p>
            <w:pPr>
              <w:pStyle w:val="TableContents"/>
              <w:bidi w:val="0"/>
              <w:spacing w:before="0" w:after="283"/>
              <w:jc w:val="right"/>
              <w:rPr>
                <w:sz w:val="18"/>
              </w:rPr>
            </w:pPr>
            <w:r>
              <w:rPr>
                <w:sz w:val="18"/>
              </w:rPr>
              <w:t>124</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sz w:val="18"/>
              </w:rPr>
            </w:pPr>
            <w:r>
              <w:rPr>
                <w:sz w:val="18"/>
              </w:rPr>
              <w:t>$</w:t>
            </w:r>
          </w:p>
        </w:tc>
        <w:tc>
          <w:tcPr>
            <w:tcW w:w="830" w:type="dxa"/>
            <w:tcBorders/>
            <w:shd w:fill="EEEEEE" w:val="clear"/>
            <w:vAlign w:val="center"/>
          </w:tcPr>
          <w:p>
            <w:pPr>
              <w:pStyle w:val="TableContents"/>
              <w:bidi w:val="0"/>
              <w:spacing w:before="0" w:after="283"/>
              <w:jc w:val="right"/>
              <w:rPr>
                <w:sz w:val="18"/>
              </w:rPr>
            </w:pPr>
            <w:r>
              <w:rPr>
                <w:sz w:val="18"/>
              </w:rPr>
              <w:t>65,134,664</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sz w:val="18"/>
              </w:rPr>
            </w:pPr>
            <w:r>
              <w:rPr>
                <w:sz w:val="18"/>
              </w:rPr>
              <w:t>$</w:t>
            </w:r>
          </w:p>
        </w:tc>
        <w:tc>
          <w:tcPr>
            <w:tcW w:w="890" w:type="dxa"/>
            <w:tcBorders/>
            <w:shd w:fill="EEEEEE" w:val="clear"/>
            <w:vAlign w:val="center"/>
          </w:tcPr>
          <w:p>
            <w:pPr>
              <w:pStyle w:val="TableContents"/>
              <w:bidi w:val="0"/>
              <w:spacing w:before="0" w:after="283"/>
              <w:jc w:val="right"/>
              <w:rPr>
                <w:sz w:val="18"/>
              </w:rPr>
            </w:pPr>
            <w:r>
              <w:rPr>
                <w:sz w:val="18"/>
              </w:rPr>
              <w:t>(69,566,903</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sz w:val="18"/>
              </w:rPr>
            </w:pPr>
            <w:r>
              <w:rPr>
                <w:sz w:val="18"/>
              </w:rPr>
              <w:t>$</w:t>
            </w:r>
          </w:p>
        </w:tc>
        <w:tc>
          <w:tcPr>
            <w:tcW w:w="911" w:type="dxa"/>
            <w:tcBorders/>
            <w:shd w:fill="EEEEEE" w:val="clear"/>
            <w:vAlign w:val="center"/>
          </w:tcPr>
          <w:p>
            <w:pPr>
              <w:pStyle w:val="TableContents"/>
              <w:bidi w:val="0"/>
              <w:spacing w:before="0" w:after="283"/>
              <w:jc w:val="right"/>
              <w:rPr>
                <w:sz w:val="18"/>
              </w:rPr>
            </w:pPr>
            <w:r>
              <w:rPr>
                <w:sz w:val="18"/>
              </w:rPr>
              <w:t>(4,432,115</w:t>
            </w:r>
          </w:p>
        </w:tc>
        <w:tc>
          <w:tcPr>
            <w:tcW w:w="108" w:type="dxa"/>
            <w:tcBorders/>
            <w:shd w:fill="EEEEEE" w:val="clear"/>
            <w:vAlign w:val="center"/>
          </w:tcPr>
          <w:p>
            <w:pPr>
              <w:pStyle w:val="TableContents"/>
              <w:bidi w:val="0"/>
              <w:spacing w:before="0" w:after="283"/>
              <w:jc w:val="left"/>
              <w:rPr>
                <w:sz w:val="18"/>
              </w:rPr>
            </w:pPr>
            <w:r>
              <w:rPr>
                <w:sz w:val="18"/>
              </w:rPr>
              <w:t>)</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07" w:name="xdx_40B_eus-gaap--StockIssuedDuringPerio"/>
            <w:bookmarkEnd w:id="107"/>
          </w:p>
        </w:tc>
      </w:tr>
      <w:tr>
        <w:trPr/>
        <w:tc>
          <w:tcPr>
            <w:tcW w:w="3485" w:type="dxa"/>
            <w:tcBorders/>
            <w:shd w:fill="EEEEEE" w:val="clear"/>
            <w:vAlign w:val="center"/>
          </w:tcPr>
          <w:p>
            <w:pPr>
              <w:pStyle w:val="TableContents"/>
              <w:bidi w:val="0"/>
              <w:spacing w:before="0" w:after="283"/>
              <w:jc w:val="left"/>
              <w:rPr>
                <w:sz w:val="18"/>
              </w:rPr>
            </w:pPr>
            <w:r>
              <w:rPr>
                <w:sz w:val="18"/>
              </w:rPr>
              <w:t>Common stock issued for cash,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08" w:name="xdx_98C_eus-gaap--StockIssuedDuringPerio"/>
            <w:bookmarkEnd w:id="108"/>
          </w:p>
        </w:tc>
        <w:tc>
          <w:tcPr>
            <w:tcW w:w="740" w:type="dxa"/>
            <w:tcBorders/>
            <w:shd w:fill="EEEEEE" w:val="clear"/>
            <w:vAlign w:val="center"/>
          </w:tcPr>
          <w:p>
            <w:pPr>
              <w:pStyle w:val="TableContents"/>
              <w:bidi w:val="0"/>
              <w:spacing w:before="0" w:after="283"/>
              <w:jc w:val="right"/>
              <w:rPr>
                <w:sz w:val="18"/>
              </w:rPr>
            </w:pPr>
            <w:r>
              <w:rPr>
                <w:sz w:val="18"/>
              </w:rPr>
              <w:t>44,314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44</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3,330,954</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3,330,998</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09" w:name="xdx_400_eus-gaap--StockIssuedDuringPerio"/>
            <w:bookmarkEnd w:id="109"/>
          </w:p>
        </w:tc>
      </w:tr>
      <w:tr>
        <w:trPr/>
        <w:tc>
          <w:tcPr>
            <w:tcW w:w="3485" w:type="dxa"/>
            <w:tcBorders/>
            <w:shd w:fill="EEEEEE" w:val="clear"/>
            <w:vAlign w:val="center"/>
          </w:tcPr>
          <w:p>
            <w:pPr>
              <w:pStyle w:val="TableContents"/>
              <w:bidi w:val="0"/>
              <w:spacing w:before="0" w:after="283"/>
              <w:jc w:val="left"/>
              <w:rPr>
                <w:sz w:val="18"/>
              </w:rPr>
            </w:pPr>
            <w:r>
              <w:rPr>
                <w:sz w:val="18"/>
              </w:rPr>
              <w:t>Exercise of warrants,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10" w:name="xdx_982_eus-gaap--StockIssuedDuringPerio"/>
            <w:bookmarkEnd w:id="110"/>
          </w:p>
        </w:tc>
        <w:tc>
          <w:tcPr>
            <w:tcW w:w="740" w:type="dxa"/>
            <w:tcBorders/>
            <w:shd w:fill="EEEEEE" w:val="clear"/>
            <w:vAlign w:val="center"/>
          </w:tcPr>
          <w:p>
            <w:pPr>
              <w:pStyle w:val="TableContents"/>
              <w:bidi w:val="0"/>
              <w:spacing w:before="0" w:after="283"/>
              <w:jc w:val="right"/>
              <w:rPr>
                <w:sz w:val="18"/>
              </w:rPr>
            </w:pPr>
            <w:r>
              <w:rPr>
                <w:sz w:val="18"/>
              </w:rPr>
              <w:t>44,774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45</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12,360</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12,405</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11" w:name="xdx_401_eus-gaap--AdjustmentsToAdditiona"/>
            <w:bookmarkEnd w:id="111"/>
          </w:p>
        </w:tc>
      </w:tr>
      <w:tr>
        <w:trPr/>
        <w:tc>
          <w:tcPr>
            <w:tcW w:w="3485" w:type="dxa"/>
            <w:tcBorders/>
            <w:shd w:fill="EEEEEE" w:val="clear"/>
            <w:vAlign w:val="center"/>
          </w:tcPr>
          <w:p>
            <w:pPr>
              <w:pStyle w:val="TableContents"/>
              <w:bidi w:val="0"/>
              <w:spacing w:before="0" w:after="283"/>
              <w:jc w:val="left"/>
              <w:rPr>
                <w:sz w:val="18"/>
              </w:rPr>
            </w:pPr>
            <w:r>
              <w:rPr>
                <w:sz w:val="18"/>
              </w:rPr>
              <w:t>Stock-based compensation</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202,933</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202,933</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12" w:name="xdx_402_eus-gaap--NetIncomeLoss_z4bs7jXb"/>
            <w:bookmarkEnd w:id="112"/>
          </w:p>
        </w:tc>
      </w:tr>
      <w:tr>
        <w:trPr/>
        <w:tc>
          <w:tcPr>
            <w:tcW w:w="3485" w:type="dxa"/>
            <w:tcBorders/>
            <w:shd w:fill="EEEEEE" w:val="clear"/>
            <w:vAlign w:val="center"/>
          </w:tcPr>
          <w:p>
            <w:pPr>
              <w:pStyle w:val="TableContents"/>
              <w:bidi w:val="0"/>
              <w:spacing w:before="0" w:after="283"/>
              <w:jc w:val="left"/>
              <w:rPr>
                <w:sz w:val="18"/>
              </w:rPr>
            </w:pPr>
            <w:r>
              <w:rPr>
                <w:sz w:val="18"/>
              </w:rPr>
              <w:t>Net loss</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74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432"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3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90" w:type="dxa"/>
            <w:tcBorders>
              <w:bottom w:val="single" w:sz="8" w:space="0" w:color="000000"/>
            </w:tcBorders>
            <w:shd w:fill="EEEEEE" w:val="clear"/>
            <w:tcMar>
              <w:bottom w:w="28" w:type="dxa"/>
            </w:tcMar>
            <w:vAlign w:val="center"/>
          </w:tcPr>
          <w:p>
            <w:pPr>
              <w:pStyle w:val="TableContents"/>
              <w:bidi w:val="0"/>
              <w:spacing w:before="0" w:after="283"/>
              <w:jc w:val="right"/>
              <w:rPr>
                <w:sz w:val="18"/>
              </w:rPr>
            </w:pPr>
            <w:r>
              <w:rPr>
                <w:sz w:val="18"/>
              </w:rPr>
              <w:t>(3,544,748</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911" w:type="dxa"/>
            <w:tcBorders>
              <w:bottom w:val="single" w:sz="8" w:space="0" w:color="000000"/>
            </w:tcBorders>
            <w:shd w:fill="EEEEEE" w:val="clear"/>
            <w:tcMar>
              <w:bottom w:w="28" w:type="dxa"/>
            </w:tcMar>
            <w:vAlign w:val="center"/>
          </w:tcPr>
          <w:p>
            <w:pPr>
              <w:pStyle w:val="TableContents"/>
              <w:bidi w:val="0"/>
              <w:spacing w:before="0" w:after="283"/>
              <w:jc w:val="right"/>
              <w:rPr>
                <w:sz w:val="18"/>
              </w:rPr>
            </w:pPr>
            <w:r>
              <w:rPr>
                <w:sz w:val="18"/>
              </w:rPr>
              <w:t>(3,544,748</w:t>
            </w:r>
          </w:p>
        </w:tc>
        <w:tc>
          <w:tcPr>
            <w:tcW w:w="108" w:type="dxa"/>
            <w:tcBorders/>
            <w:shd w:fill="EEEEEE" w:val="clear"/>
            <w:vAlign w:val="center"/>
          </w:tcPr>
          <w:p>
            <w:pPr>
              <w:pStyle w:val="TableContents"/>
              <w:bidi w:val="0"/>
              <w:spacing w:before="0" w:after="283"/>
              <w:jc w:val="left"/>
              <w:rPr>
                <w:sz w:val="18"/>
              </w:rPr>
            </w:pPr>
            <w:r>
              <w:rPr>
                <w:sz w:val="18"/>
              </w:rPr>
              <w:t>)</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13" w:name="xdx_43E_c20240401__20240630_eus-gaap--St"/>
            <w:bookmarkEnd w:id="113"/>
          </w:p>
        </w:tc>
      </w:tr>
      <w:tr>
        <w:trPr/>
        <w:tc>
          <w:tcPr>
            <w:tcW w:w="3485" w:type="dxa"/>
            <w:tcBorders/>
            <w:shd w:fill="EEEEEE" w:val="clear"/>
            <w:vAlign w:val="center"/>
          </w:tcPr>
          <w:p>
            <w:pPr>
              <w:pStyle w:val="TableContents"/>
              <w:bidi w:val="0"/>
              <w:spacing w:before="0" w:after="283"/>
              <w:jc w:val="left"/>
              <w:rPr>
                <w:sz w:val="18"/>
              </w:rPr>
            </w:pPr>
            <w:r>
              <w:rPr>
                <w:sz w:val="18"/>
              </w:rPr>
              <w:t>Balance, March 31, 2024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14" w:name="xdx_980_eus-gaap--SharesOutstanding_iS_c"/>
            <w:bookmarkEnd w:id="114"/>
          </w:p>
        </w:tc>
        <w:tc>
          <w:tcPr>
            <w:tcW w:w="740" w:type="dxa"/>
            <w:tcBorders/>
            <w:shd w:fill="EEEEEE" w:val="clear"/>
            <w:vAlign w:val="center"/>
          </w:tcPr>
          <w:p>
            <w:pPr>
              <w:pStyle w:val="TableContents"/>
              <w:bidi w:val="0"/>
              <w:spacing w:before="0" w:after="283"/>
              <w:jc w:val="right"/>
              <w:rPr>
                <w:sz w:val="18"/>
              </w:rPr>
            </w:pPr>
            <w:r>
              <w:rPr>
                <w:sz w:val="18"/>
              </w:rPr>
              <w:t>213,394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213</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68,680,911</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sz w:val="18"/>
              </w:rPr>
            </w:pPr>
            <w:r>
              <w:rPr>
                <w:sz w:val="18"/>
              </w:rPr>
              <w:t>(73,111,651</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(4,430,527</w:t>
            </w:r>
          </w:p>
        </w:tc>
        <w:tc>
          <w:tcPr>
            <w:tcW w:w="108" w:type="dxa"/>
            <w:tcBorders/>
            <w:shd w:fill="EEEEEE" w:val="clear"/>
            <w:vAlign w:val="center"/>
          </w:tcPr>
          <w:p>
            <w:pPr>
              <w:pStyle w:val="TableContents"/>
              <w:bidi w:val="0"/>
              <w:spacing w:before="0" w:after="283"/>
              <w:jc w:val="left"/>
              <w:rPr>
                <w:sz w:val="18"/>
              </w:rPr>
            </w:pPr>
            <w:r>
              <w:rPr>
                <w:sz w:val="18"/>
              </w:rPr>
              <w:t>)</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15" w:name="xdx_40B_ecustom--CommonStockIssuedForCas"/>
            <w:bookmarkEnd w:id="115"/>
          </w:p>
        </w:tc>
      </w:tr>
      <w:tr>
        <w:trPr/>
        <w:tc>
          <w:tcPr>
            <w:tcW w:w="3485" w:type="dxa"/>
            <w:tcBorders/>
            <w:shd w:fill="EEEEEE" w:val="clear"/>
            <w:vAlign w:val="center"/>
          </w:tcPr>
          <w:p>
            <w:pPr>
              <w:pStyle w:val="TableContents"/>
              <w:bidi w:val="0"/>
              <w:spacing w:before="0" w:after="283"/>
              <w:jc w:val="left"/>
              <w:rPr>
                <w:sz w:val="18"/>
              </w:rPr>
            </w:pPr>
            <w:r>
              <w:rPr>
                <w:sz w:val="18"/>
              </w:rPr>
              <w:t>Common stock issued for cash and warrants,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16" w:name="xdx_983_ecustom--CommonStockIssuedForCas"/>
            <w:bookmarkEnd w:id="116"/>
          </w:p>
        </w:tc>
        <w:tc>
          <w:tcPr>
            <w:tcW w:w="740" w:type="dxa"/>
            <w:tcBorders/>
            <w:shd w:fill="EEEEEE" w:val="clear"/>
            <w:vAlign w:val="center"/>
          </w:tcPr>
          <w:p>
            <w:pPr>
              <w:pStyle w:val="TableContents"/>
              <w:bidi w:val="0"/>
              <w:spacing w:before="0" w:after="283"/>
              <w:jc w:val="right"/>
              <w:rPr>
                <w:sz w:val="18"/>
              </w:rPr>
            </w:pPr>
            <w:r>
              <w:rPr>
                <w:sz w:val="18"/>
              </w:rPr>
              <w:t>904,000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904</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2,423,509</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2,424,413</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17" w:name="xdx_400_eus-gaap--StockIssuedDuringPerio"/>
            <w:bookmarkEnd w:id="117"/>
          </w:p>
        </w:tc>
      </w:tr>
      <w:tr>
        <w:trPr/>
        <w:tc>
          <w:tcPr>
            <w:tcW w:w="3485" w:type="dxa"/>
            <w:tcBorders/>
            <w:shd w:fill="EEEEEE" w:val="clear"/>
            <w:vAlign w:val="center"/>
          </w:tcPr>
          <w:p>
            <w:pPr>
              <w:pStyle w:val="TableContents"/>
              <w:bidi w:val="0"/>
              <w:spacing w:before="0" w:after="283"/>
              <w:jc w:val="left"/>
              <w:rPr>
                <w:sz w:val="18"/>
              </w:rPr>
            </w:pPr>
            <w:r>
              <w:rPr>
                <w:sz w:val="18"/>
              </w:rPr>
              <w:t>Exercise of warrants,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18" w:name="xdx_98A_eus-gaap--StockIssuedDuringPerio"/>
            <w:bookmarkEnd w:id="118"/>
          </w:p>
        </w:tc>
        <w:tc>
          <w:tcPr>
            <w:tcW w:w="740" w:type="dxa"/>
            <w:tcBorders/>
            <w:shd w:fill="EEEEEE" w:val="clear"/>
            <w:vAlign w:val="center"/>
          </w:tcPr>
          <w:p>
            <w:pPr>
              <w:pStyle w:val="TableContents"/>
              <w:bidi w:val="0"/>
              <w:spacing w:before="0" w:after="283"/>
              <w:jc w:val="right"/>
              <w:rPr>
                <w:sz w:val="18"/>
              </w:rPr>
            </w:pPr>
            <w:r>
              <w:rPr>
                <w:sz w:val="18"/>
              </w:rPr>
              <w:t>208,260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208</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8,713</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8,921</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19" w:name="xdx_40A_eus-gaap--AdjustmentsToAdditiona"/>
            <w:bookmarkEnd w:id="119"/>
          </w:p>
        </w:tc>
      </w:tr>
      <w:tr>
        <w:trPr/>
        <w:tc>
          <w:tcPr>
            <w:tcW w:w="3485" w:type="dxa"/>
            <w:tcBorders/>
            <w:shd w:fill="EEEEEE" w:val="clear"/>
            <w:vAlign w:val="center"/>
          </w:tcPr>
          <w:p>
            <w:pPr>
              <w:pStyle w:val="TableContents"/>
              <w:bidi w:val="0"/>
              <w:spacing w:before="0" w:after="283"/>
              <w:jc w:val="left"/>
              <w:rPr>
                <w:sz w:val="18"/>
              </w:rPr>
            </w:pPr>
            <w:r>
              <w:rPr>
                <w:sz w:val="18"/>
              </w:rPr>
              <w:t>Stock-based compensation</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234,345</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234,345</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20" w:name="xdx_40F_eus-gaap--AdjustmentsToAdditiona"/>
            <w:bookmarkEnd w:id="120"/>
          </w:p>
        </w:tc>
      </w:tr>
      <w:tr>
        <w:trPr/>
        <w:tc>
          <w:tcPr>
            <w:tcW w:w="3485" w:type="dxa"/>
            <w:tcBorders/>
            <w:shd w:fill="EEEEEE" w:val="clear"/>
            <w:vAlign w:val="center"/>
          </w:tcPr>
          <w:p>
            <w:pPr>
              <w:pStyle w:val="TableContents"/>
              <w:bidi w:val="0"/>
              <w:spacing w:before="0" w:after="283"/>
              <w:jc w:val="left"/>
              <w:rPr>
                <w:sz w:val="18"/>
              </w:rPr>
            </w:pPr>
            <w:r>
              <w:rPr>
                <w:sz w:val="18"/>
              </w:rPr>
              <w:t>Adjustment related to reverse stock split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21" w:name="xdx_98D_eus-gaap--StockIssuedDuringPerio"/>
            <w:bookmarkEnd w:id="121"/>
          </w:p>
        </w:tc>
        <w:tc>
          <w:tcPr>
            <w:tcW w:w="740" w:type="dxa"/>
            <w:tcBorders/>
            <w:shd w:fill="EEEEEE" w:val="clear"/>
            <w:vAlign w:val="center"/>
          </w:tcPr>
          <w:p>
            <w:pPr>
              <w:pStyle w:val="TableContents"/>
              <w:bidi w:val="0"/>
              <w:spacing w:before="0" w:after="283"/>
              <w:jc w:val="right"/>
              <w:rPr>
                <w:sz w:val="18"/>
              </w:rPr>
            </w:pPr>
            <w:r>
              <w:rPr>
                <w:sz w:val="18"/>
              </w:rPr>
              <w:t>117,620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118</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(118</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pPr>
            <w:r>
              <w:rPr/>
              <w:t>–</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22" w:name="xdx_40F_eus-gaap--NetIncomeLoss_zcDOpCzL"/>
            <w:bookmarkEnd w:id="122"/>
          </w:p>
        </w:tc>
      </w:tr>
      <w:tr>
        <w:trPr/>
        <w:tc>
          <w:tcPr>
            <w:tcW w:w="3485" w:type="dxa"/>
            <w:tcBorders/>
            <w:shd w:fill="EEEEEE" w:val="clear"/>
            <w:vAlign w:val="center"/>
          </w:tcPr>
          <w:p>
            <w:pPr>
              <w:pStyle w:val="TableContents"/>
              <w:bidi w:val="0"/>
              <w:spacing w:before="0" w:after="283"/>
              <w:jc w:val="left"/>
              <w:rPr>
                <w:sz w:val="18"/>
              </w:rPr>
            </w:pPr>
            <w:r>
              <w:rPr>
                <w:sz w:val="18"/>
              </w:rPr>
              <w:t>Net loss</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74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432"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3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90" w:type="dxa"/>
            <w:tcBorders>
              <w:bottom w:val="single" w:sz="8" w:space="0" w:color="000000"/>
            </w:tcBorders>
            <w:shd w:fill="EEEEEE" w:val="clear"/>
            <w:tcMar>
              <w:bottom w:w="28" w:type="dxa"/>
            </w:tcMar>
            <w:vAlign w:val="center"/>
          </w:tcPr>
          <w:p>
            <w:pPr>
              <w:pStyle w:val="TableContents"/>
              <w:bidi w:val="0"/>
              <w:spacing w:before="0" w:after="283"/>
              <w:jc w:val="right"/>
              <w:rPr>
                <w:sz w:val="18"/>
              </w:rPr>
            </w:pPr>
            <w:r>
              <w:rPr>
                <w:sz w:val="18"/>
              </w:rPr>
              <w:t>(2,530,753</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911" w:type="dxa"/>
            <w:tcBorders>
              <w:bottom w:val="single" w:sz="8" w:space="0" w:color="000000"/>
            </w:tcBorders>
            <w:shd w:fill="EEEEEE" w:val="clear"/>
            <w:tcMar>
              <w:bottom w:w="28" w:type="dxa"/>
            </w:tcMar>
            <w:vAlign w:val="center"/>
          </w:tcPr>
          <w:p>
            <w:pPr>
              <w:pStyle w:val="TableContents"/>
              <w:bidi w:val="0"/>
              <w:spacing w:before="0" w:after="283"/>
              <w:jc w:val="right"/>
              <w:rPr>
                <w:sz w:val="18"/>
              </w:rPr>
            </w:pPr>
            <w:r>
              <w:rPr>
                <w:sz w:val="18"/>
              </w:rPr>
              <w:t>(2,530,753</w:t>
            </w:r>
          </w:p>
        </w:tc>
        <w:tc>
          <w:tcPr>
            <w:tcW w:w="108" w:type="dxa"/>
            <w:tcBorders/>
            <w:shd w:fill="EEEEEE" w:val="clear"/>
            <w:vAlign w:val="center"/>
          </w:tcPr>
          <w:p>
            <w:pPr>
              <w:pStyle w:val="TableContents"/>
              <w:bidi w:val="0"/>
              <w:spacing w:before="0" w:after="283"/>
              <w:jc w:val="left"/>
              <w:rPr>
                <w:sz w:val="18"/>
              </w:rPr>
            </w:pPr>
            <w:r>
              <w:rPr>
                <w:sz w:val="18"/>
              </w:rPr>
              <w:t>)</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23" w:name="xdx_435_c20240401__20240630_eus-gaap--St"/>
            <w:bookmarkEnd w:id="123"/>
          </w:p>
        </w:tc>
      </w:tr>
      <w:tr>
        <w:trPr/>
        <w:tc>
          <w:tcPr>
            <w:tcW w:w="3485" w:type="dxa"/>
            <w:tcBorders/>
            <w:shd w:fill="EEEEEE" w:val="clear"/>
            <w:vAlign w:val="center"/>
          </w:tcPr>
          <w:p>
            <w:pPr>
              <w:pStyle w:val="TableContents"/>
              <w:bidi w:val="0"/>
              <w:spacing w:before="0" w:after="283"/>
              <w:jc w:val="left"/>
              <w:rPr>
                <w:sz w:val="18"/>
              </w:rPr>
            </w:pPr>
            <w:r>
              <w:rPr>
                <w:sz w:val="18"/>
              </w:rPr>
              <w:t>Balance, June 30,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124" w:name="xdx_98D_eus-gaap--SharesOutstanding_iE_c"/>
            <w:bookmarkEnd w:id="124"/>
          </w:p>
        </w:tc>
        <w:tc>
          <w:tcPr>
            <w:tcW w:w="740"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1,443,274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double" w:sz="6" w:space="0" w:color="000000"/>
            </w:tcBorders>
            <w:shd w:fill="EEEEEE" w:val="clear"/>
            <w:tcMar>
              <w:bottom w:w="28" w:type="dxa"/>
            </w:tcMar>
            <w:vAlign w:val="center"/>
          </w:tcPr>
          <w:p>
            <w:pPr>
              <w:pStyle w:val="TableContents"/>
              <w:bidi w:val="0"/>
              <w:spacing w:before="0" w:after="283"/>
              <w:jc w:val="left"/>
              <w:rPr>
                <w:sz w:val="18"/>
              </w:rPr>
            </w:pPr>
            <w:r>
              <w:rPr>
                <w:sz w:val="18"/>
              </w:rPr>
              <w:t>$</w:t>
            </w:r>
          </w:p>
        </w:tc>
        <w:tc>
          <w:tcPr>
            <w:tcW w:w="432"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1,443</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double" w:sz="6" w:space="0" w:color="000000"/>
            </w:tcBorders>
            <w:shd w:fill="EEEEEE" w:val="clear"/>
            <w:tcMar>
              <w:bottom w:w="28" w:type="dxa"/>
            </w:tcMar>
            <w:vAlign w:val="center"/>
          </w:tcPr>
          <w:p>
            <w:pPr>
              <w:pStyle w:val="TableContents"/>
              <w:bidi w:val="0"/>
              <w:spacing w:before="0" w:after="283"/>
              <w:jc w:val="left"/>
              <w:rPr>
                <w:sz w:val="18"/>
              </w:rPr>
            </w:pPr>
            <w:r>
              <w:rPr>
                <w:sz w:val="18"/>
              </w:rPr>
              <w:t>$</w:t>
            </w:r>
          </w:p>
        </w:tc>
        <w:tc>
          <w:tcPr>
            <w:tcW w:w="830"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71,347,360</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double" w:sz="6" w:space="0" w:color="000000"/>
            </w:tcBorders>
            <w:shd w:fill="EEEEEE" w:val="clear"/>
            <w:tcMar>
              <w:bottom w:w="28" w:type="dxa"/>
            </w:tcMar>
            <w:vAlign w:val="center"/>
          </w:tcPr>
          <w:p>
            <w:pPr>
              <w:pStyle w:val="TableContents"/>
              <w:bidi w:val="0"/>
              <w:spacing w:before="0" w:after="283"/>
              <w:jc w:val="left"/>
              <w:rPr>
                <w:sz w:val="18"/>
              </w:rPr>
            </w:pPr>
            <w:r>
              <w:rPr>
                <w:sz w:val="18"/>
              </w:rPr>
              <w:t>$</w:t>
            </w:r>
          </w:p>
        </w:tc>
        <w:tc>
          <w:tcPr>
            <w:tcW w:w="890"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(75,642,404</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bottom w:val="double" w:sz="6" w:space="0" w:color="000000"/>
            </w:tcBorders>
            <w:shd w:fill="EEEEEE" w:val="clear"/>
            <w:tcMar>
              <w:bottom w:w="28" w:type="dxa"/>
            </w:tcMar>
            <w:vAlign w:val="center"/>
          </w:tcPr>
          <w:p>
            <w:pPr>
              <w:pStyle w:val="TableContents"/>
              <w:bidi w:val="0"/>
              <w:spacing w:before="0" w:after="283"/>
              <w:jc w:val="left"/>
              <w:rPr>
                <w:sz w:val="18"/>
              </w:rPr>
            </w:pPr>
            <w:r>
              <w:rPr>
                <w:sz w:val="18"/>
              </w:rPr>
              <w:t>$</w:t>
            </w:r>
          </w:p>
        </w:tc>
        <w:tc>
          <w:tcPr>
            <w:tcW w:w="911"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(4,293,601</w:t>
            </w:r>
          </w:p>
        </w:tc>
        <w:tc>
          <w:tcPr>
            <w:tcW w:w="108" w:type="dxa"/>
            <w:tcBorders/>
            <w:shd w:fill="EEEEEE" w:val="clear"/>
            <w:vAlign w:val="center"/>
          </w:tcPr>
          <w:p>
            <w:pPr>
              <w:pStyle w:val="TableContents"/>
              <w:bidi w:val="0"/>
              <w:spacing w:before="0" w:after="283"/>
              <w:jc w:val="left"/>
              <w:rPr>
                <w:sz w:val="18"/>
              </w:rPr>
            </w:pPr>
            <w:r>
              <w:rPr>
                <w:sz w:val="18"/>
              </w:rPr>
              <w:t>)</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p>
        </w:tc>
      </w:tr>
      <w:tr>
        <w:trPr/>
        <w:tc>
          <w:tcPr>
            <w:tcW w:w="34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74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1" w:type="dxa"/>
            <w:tcBorders/>
            <w:vAlign w:val="center"/>
          </w:tcPr>
          <w:p>
            <w:pPr>
              <w:pStyle w:val="TableContents"/>
              <w:bidi w:val="0"/>
              <w:spacing w:before="0" w:after="283"/>
              <w:jc w:val="left"/>
              <w:rPr/>
            </w:pPr>
            <w:r>
              <w:rPr/>
              <w:t> </w:t>
            </w:r>
          </w:p>
        </w:tc>
        <w:tc>
          <w:tcPr>
            <w:tcW w:w="432" w:type="dxa"/>
            <w:tcBorders/>
            <w:vAlign w:val="center"/>
          </w:tcPr>
          <w:p>
            <w:pPr>
              <w:pStyle w:val="TableContents"/>
              <w:bidi w:val="0"/>
              <w:spacing w:before="0" w:after="283"/>
              <w:jc w:val="right"/>
              <w:rPr/>
            </w:pPr>
            <w:r>
              <w:rPr/>
              <w:t> </w:t>
            </w:r>
          </w:p>
        </w:tc>
        <w:tc>
          <w:tcPr>
            <w:tcW w:w="62"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 w:type="dxa"/>
            <w:tcBorders/>
            <w:vAlign w:val="center"/>
          </w:tcPr>
          <w:p>
            <w:pPr>
              <w:pStyle w:val="TableContents"/>
              <w:bidi w:val="0"/>
              <w:spacing w:before="0" w:after="283"/>
              <w:jc w:val="left"/>
              <w:rPr/>
            </w:pPr>
            <w:r>
              <w:rPr/>
              <w:t> </w:t>
            </w:r>
          </w:p>
        </w:tc>
        <w:tc>
          <w:tcPr>
            <w:tcW w:w="830" w:type="dxa"/>
            <w:tcBorders/>
            <w:vAlign w:val="center"/>
          </w:tcPr>
          <w:p>
            <w:pPr>
              <w:pStyle w:val="TableContents"/>
              <w:bidi w:val="0"/>
              <w:spacing w:before="0" w:after="283"/>
              <w:jc w:val="right"/>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 w:type="dxa"/>
            <w:tcBorders/>
            <w:vAlign w:val="center"/>
          </w:tcPr>
          <w:p>
            <w:pPr>
              <w:pStyle w:val="TableContents"/>
              <w:bidi w:val="0"/>
              <w:spacing w:before="0" w:after="283"/>
              <w:jc w:val="left"/>
              <w:rPr/>
            </w:pPr>
            <w:r>
              <w:rPr/>
              <w:t> </w:t>
            </w:r>
          </w:p>
        </w:tc>
        <w:tc>
          <w:tcPr>
            <w:tcW w:w="890" w:type="dxa"/>
            <w:tcBorders/>
            <w:vAlign w:val="center"/>
          </w:tcPr>
          <w:p>
            <w:pPr>
              <w:pStyle w:val="TableContents"/>
              <w:bidi w:val="0"/>
              <w:spacing w:before="0" w:after="283"/>
              <w:jc w:val="right"/>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5" w:type="dxa"/>
            <w:tcBorders/>
            <w:vAlign w:val="center"/>
          </w:tcPr>
          <w:p>
            <w:pPr>
              <w:pStyle w:val="TableContents"/>
              <w:bidi w:val="0"/>
              <w:spacing w:before="0" w:after="283"/>
              <w:jc w:val="left"/>
              <w:rPr/>
            </w:pPr>
            <w:r>
              <w:rPr/>
              <w:t> </w:t>
            </w:r>
          </w:p>
        </w:tc>
        <w:tc>
          <w:tcPr>
            <w:tcW w:w="911" w:type="dxa"/>
            <w:tcBorders/>
            <w:vAlign w:val="center"/>
          </w:tcPr>
          <w:p>
            <w:pPr>
              <w:pStyle w:val="TableContents"/>
              <w:bidi w:val="0"/>
              <w:spacing w:before="0" w:after="283"/>
              <w:jc w:val="right"/>
              <w:rPr/>
            </w:pPr>
            <w:r>
              <w:rPr/>
              <w:t> </w:t>
            </w:r>
          </w:p>
        </w:tc>
        <w:tc>
          <w:tcPr>
            <w:tcW w:w="108" w:type="dxa"/>
            <w:tcBorders/>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25" w:name="xdx_43E_c20230101__20230331_eus-gaap--St"/>
            <w:bookmarkEnd w:id="125"/>
          </w:p>
        </w:tc>
      </w:tr>
      <w:tr>
        <w:trPr/>
        <w:tc>
          <w:tcPr>
            <w:tcW w:w="3485" w:type="dxa"/>
            <w:tcBorders/>
            <w:shd w:fill="EEEEEE" w:val="clear"/>
            <w:vAlign w:val="center"/>
          </w:tcPr>
          <w:p>
            <w:pPr>
              <w:pStyle w:val="TableContents"/>
              <w:bidi w:val="0"/>
              <w:spacing w:before="0" w:after="283"/>
              <w:jc w:val="left"/>
              <w:rPr>
                <w:sz w:val="18"/>
              </w:rPr>
            </w:pPr>
            <w:r>
              <w:rPr>
                <w:sz w:val="18"/>
              </w:rPr>
              <w:t>Balance December 31, 2022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26" w:name="xdx_981_eus-gaap--SharesOutstanding_iS_c"/>
            <w:bookmarkEnd w:id="126"/>
          </w:p>
        </w:tc>
        <w:tc>
          <w:tcPr>
            <w:tcW w:w="740" w:type="dxa"/>
            <w:tcBorders/>
            <w:shd w:fill="EEEEEE" w:val="clear"/>
            <w:vAlign w:val="center"/>
          </w:tcPr>
          <w:p>
            <w:pPr>
              <w:pStyle w:val="TableContents"/>
              <w:bidi w:val="0"/>
              <w:spacing w:before="0" w:after="283"/>
              <w:jc w:val="right"/>
              <w:rPr>
                <w:sz w:val="18"/>
              </w:rPr>
            </w:pPr>
            <w:r>
              <w:rPr>
                <w:sz w:val="18"/>
              </w:rPr>
              <w:t>32,347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sz w:val="18"/>
              </w:rPr>
            </w:pPr>
            <w:r>
              <w:rPr>
                <w:sz w:val="18"/>
              </w:rPr>
              <w:t>$</w:t>
            </w:r>
          </w:p>
        </w:tc>
        <w:tc>
          <w:tcPr>
            <w:tcW w:w="432" w:type="dxa"/>
            <w:tcBorders/>
            <w:shd w:fill="EEEEEE" w:val="clear"/>
            <w:vAlign w:val="center"/>
          </w:tcPr>
          <w:p>
            <w:pPr>
              <w:pStyle w:val="TableContents"/>
              <w:bidi w:val="0"/>
              <w:spacing w:before="0" w:after="283"/>
              <w:jc w:val="right"/>
              <w:rPr>
                <w:sz w:val="18"/>
              </w:rPr>
            </w:pPr>
            <w:r>
              <w:rPr>
                <w:sz w:val="18"/>
              </w:rPr>
              <w:t>32</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sz w:val="18"/>
              </w:rPr>
            </w:pPr>
            <w:r>
              <w:rPr>
                <w:sz w:val="18"/>
              </w:rPr>
              <w:t>$</w:t>
            </w:r>
          </w:p>
        </w:tc>
        <w:tc>
          <w:tcPr>
            <w:tcW w:w="830" w:type="dxa"/>
            <w:tcBorders/>
            <w:shd w:fill="EEEEEE" w:val="clear"/>
            <w:vAlign w:val="center"/>
          </w:tcPr>
          <w:p>
            <w:pPr>
              <w:pStyle w:val="TableContents"/>
              <w:bidi w:val="0"/>
              <w:spacing w:before="0" w:after="283"/>
              <w:jc w:val="right"/>
              <w:rPr>
                <w:sz w:val="18"/>
              </w:rPr>
            </w:pPr>
            <w:r>
              <w:rPr>
                <w:sz w:val="18"/>
              </w:rPr>
              <w:t>58,848,501</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sz w:val="18"/>
              </w:rPr>
            </w:pPr>
            <w:r>
              <w:rPr>
                <w:sz w:val="18"/>
              </w:rPr>
              <w:t>$</w:t>
            </w:r>
          </w:p>
        </w:tc>
        <w:tc>
          <w:tcPr>
            <w:tcW w:w="890" w:type="dxa"/>
            <w:tcBorders/>
            <w:shd w:fill="EEEEEE" w:val="clear"/>
            <w:vAlign w:val="center"/>
          </w:tcPr>
          <w:p>
            <w:pPr>
              <w:pStyle w:val="TableContents"/>
              <w:bidi w:val="0"/>
              <w:spacing w:before="0" w:after="283"/>
              <w:jc w:val="right"/>
              <w:rPr>
                <w:sz w:val="18"/>
              </w:rPr>
            </w:pPr>
            <w:r>
              <w:rPr>
                <w:sz w:val="18"/>
              </w:rPr>
              <w:t>(50,715,677</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sz w:val="18"/>
              </w:rPr>
            </w:pPr>
            <w:r>
              <w:rPr>
                <w:sz w:val="18"/>
              </w:rPr>
              <w:t>$</w:t>
            </w:r>
          </w:p>
        </w:tc>
        <w:tc>
          <w:tcPr>
            <w:tcW w:w="911" w:type="dxa"/>
            <w:tcBorders/>
            <w:shd w:fill="EEEEEE" w:val="clear"/>
            <w:vAlign w:val="center"/>
          </w:tcPr>
          <w:p>
            <w:pPr>
              <w:pStyle w:val="TableContents"/>
              <w:bidi w:val="0"/>
              <w:spacing w:before="0" w:after="283"/>
              <w:jc w:val="right"/>
              <w:rPr>
                <w:sz w:val="18"/>
              </w:rPr>
            </w:pPr>
            <w:r>
              <w:rPr>
                <w:sz w:val="18"/>
              </w:rPr>
              <w:t>8,132,856</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27" w:name="xdx_40D_eus-gaap--StockIssuedDuringPerio"/>
            <w:bookmarkEnd w:id="127"/>
          </w:p>
        </w:tc>
      </w:tr>
      <w:tr>
        <w:trPr/>
        <w:tc>
          <w:tcPr>
            <w:tcW w:w="3485" w:type="dxa"/>
            <w:tcBorders/>
            <w:shd w:fill="EEEEEE" w:val="clear"/>
            <w:vAlign w:val="center"/>
          </w:tcPr>
          <w:p>
            <w:pPr>
              <w:pStyle w:val="TableContents"/>
              <w:bidi w:val="0"/>
              <w:spacing w:before="0" w:after="283"/>
              <w:jc w:val="left"/>
              <w:rPr>
                <w:sz w:val="18"/>
              </w:rPr>
            </w:pPr>
            <w:r>
              <w:rPr>
                <w:sz w:val="18"/>
              </w:rPr>
              <w:t>Exercise of warrants</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28" w:name="xdx_986_eus-gaap--StockIssuedDuringPerio"/>
            <w:bookmarkEnd w:id="128"/>
          </w:p>
        </w:tc>
        <w:tc>
          <w:tcPr>
            <w:tcW w:w="740" w:type="dxa"/>
            <w:tcBorders/>
            <w:shd w:fill="EEEEEE" w:val="clear"/>
            <w:vAlign w:val="center"/>
          </w:tcPr>
          <w:p>
            <w:pPr>
              <w:pStyle w:val="TableContents"/>
              <w:bidi w:val="0"/>
              <w:spacing w:before="0" w:after="283"/>
              <w:jc w:val="right"/>
              <w:rPr>
                <w:sz w:val="18"/>
              </w:rPr>
            </w:pPr>
            <w:r>
              <w:rPr>
                <w:sz w:val="18"/>
              </w:rPr>
              <w:t>12,180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12</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597</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609</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29" w:name="xdx_405_eus-gaap--AdjustmentsToAdditiona"/>
            <w:bookmarkEnd w:id="129"/>
          </w:p>
        </w:tc>
      </w:tr>
      <w:tr>
        <w:trPr/>
        <w:tc>
          <w:tcPr>
            <w:tcW w:w="3485" w:type="dxa"/>
            <w:tcBorders/>
            <w:shd w:fill="EEEEEE" w:val="clear"/>
            <w:vAlign w:val="center"/>
          </w:tcPr>
          <w:p>
            <w:pPr>
              <w:pStyle w:val="TableContents"/>
              <w:bidi w:val="0"/>
              <w:spacing w:before="0" w:after="283"/>
              <w:jc w:val="left"/>
              <w:rPr>
                <w:sz w:val="18"/>
              </w:rPr>
            </w:pPr>
            <w:r>
              <w:rPr>
                <w:sz w:val="18"/>
              </w:rPr>
              <w:t>Stock-based compensation</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290,313</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290,313</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30" w:name="xdx_401_eus-gaap--NetIncomeLoss_zoZjazRn"/>
            <w:bookmarkEnd w:id="130"/>
          </w:p>
        </w:tc>
      </w:tr>
      <w:tr>
        <w:trPr/>
        <w:tc>
          <w:tcPr>
            <w:tcW w:w="3485" w:type="dxa"/>
            <w:tcBorders/>
            <w:shd w:fill="EEEEEE" w:val="clear"/>
            <w:vAlign w:val="center"/>
          </w:tcPr>
          <w:p>
            <w:pPr>
              <w:pStyle w:val="TableContents"/>
              <w:bidi w:val="0"/>
              <w:spacing w:before="0" w:after="283"/>
              <w:jc w:val="left"/>
              <w:rPr>
                <w:sz w:val="18"/>
              </w:rPr>
            </w:pPr>
            <w:r>
              <w:rPr>
                <w:sz w:val="18"/>
              </w:rPr>
              <w:t>Net loss</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74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432"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3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90" w:type="dxa"/>
            <w:tcBorders>
              <w:bottom w:val="single" w:sz="8" w:space="0" w:color="000000"/>
            </w:tcBorders>
            <w:shd w:fill="EEEEEE" w:val="clear"/>
            <w:tcMar>
              <w:bottom w:w="28" w:type="dxa"/>
            </w:tcMar>
            <w:vAlign w:val="center"/>
          </w:tcPr>
          <w:p>
            <w:pPr>
              <w:pStyle w:val="TableContents"/>
              <w:bidi w:val="0"/>
              <w:spacing w:before="0" w:after="283"/>
              <w:jc w:val="right"/>
              <w:rPr>
                <w:sz w:val="18"/>
              </w:rPr>
            </w:pPr>
            <w:r>
              <w:rPr>
                <w:sz w:val="18"/>
              </w:rPr>
              <w:t>(4,931,947</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911" w:type="dxa"/>
            <w:tcBorders>
              <w:bottom w:val="single" w:sz="8" w:space="0" w:color="000000"/>
            </w:tcBorders>
            <w:shd w:fill="EEEEEE" w:val="clear"/>
            <w:tcMar>
              <w:bottom w:w="28" w:type="dxa"/>
            </w:tcMar>
            <w:vAlign w:val="center"/>
          </w:tcPr>
          <w:p>
            <w:pPr>
              <w:pStyle w:val="TableContents"/>
              <w:bidi w:val="0"/>
              <w:spacing w:before="0" w:after="283"/>
              <w:jc w:val="right"/>
              <w:rPr>
                <w:sz w:val="18"/>
              </w:rPr>
            </w:pPr>
            <w:r>
              <w:rPr>
                <w:sz w:val="18"/>
              </w:rPr>
              <w:t>(4,931,947</w:t>
            </w:r>
          </w:p>
        </w:tc>
        <w:tc>
          <w:tcPr>
            <w:tcW w:w="108" w:type="dxa"/>
            <w:tcBorders/>
            <w:shd w:fill="EEEEEE" w:val="clear"/>
            <w:vAlign w:val="center"/>
          </w:tcPr>
          <w:p>
            <w:pPr>
              <w:pStyle w:val="TableContents"/>
              <w:bidi w:val="0"/>
              <w:spacing w:before="0" w:after="283"/>
              <w:jc w:val="left"/>
              <w:rPr>
                <w:sz w:val="18"/>
              </w:rPr>
            </w:pPr>
            <w:r>
              <w:rPr>
                <w:sz w:val="18"/>
              </w:rPr>
              <w:t>)</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31" w:name="xdx_43C_c20230401__20230630_eus-gaap--St"/>
            <w:bookmarkEnd w:id="131"/>
          </w:p>
        </w:tc>
      </w:tr>
      <w:tr>
        <w:trPr/>
        <w:tc>
          <w:tcPr>
            <w:tcW w:w="3485" w:type="dxa"/>
            <w:tcBorders/>
            <w:shd w:fill="EEEEEE" w:val="clear"/>
            <w:vAlign w:val="center"/>
          </w:tcPr>
          <w:p>
            <w:pPr>
              <w:pStyle w:val="TableContents"/>
              <w:bidi w:val="0"/>
              <w:spacing w:before="0" w:after="283"/>
              <w:jc w:val="left"/>
              <w:rPr>
                <w:sz w:val="18"/>
              </w:rPr>
            </w:pPr>
            <w:r>
              <w:rPr>
                <w:sz w:val="18"/>
              </w:rPr>
              <w:t>Balance, March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32" w:name="xdx_98B_eus-gaap--SharesOutstanding_iS_c"/>
            <w:bookmarkEnd w:id="132"/>
          </w:p>
        </w:tc>
        <w:tc>
          <w:tcPr>
            <w:tcW w:w="740" w:type="dxa"/>
            <w:tcBorders/>
            <w:shd w:fill="EEEEEE" w:val="clear"/>
            <w:vAlign w:val="center"/>
          </w:tcPr>
          <w:p>
            <w:pPr>
              <w:pStyle w:val="TableContents"/>
              <w:bidi w:val="0"/>
              <w:spacing w:before="0" w:after="283"/>
              <w:jc w:val="right"/>
              <w:rPr>
                <w:sz w:val="18"/>
              </w:rPr>
            </w:pPr>
            <w:r>
              <w:rPr>
                <w:sz w:val="18"/>
              </w:rPr>
              <w:t>44,527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44</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59,139,411</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sz w:val="18"/>
              </w:rPr>
            </w:pPr>
            <w:r>
              <w:rPr>
                <w:sz w:val="18"/>
              </w:rPr>
              <w:t>(55,647,624</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3,491,831</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33" w:name="xdx_407_eus-gaap--StockIssuedDuringPerio"/>
            <w:bookmarkEnd w:id="133"/>
          </w:p>
        </w:tc>
      </w:tr>
      <w:tr>
        <w:trPr/>
        <w:tc>
          <w:tcPr>
            <w:tcW w:w="3485" w:type="dxa"/>
            <w:tcBorders/>
            <w:shd w:fill="EEEEEE" w:val="clear"/>
            <w:vAlign w:val="center"/>
          </w:tcPr>
          <w:p>
            <w:pPr>
              <w:pStyle w:val="TableContents"/>
              <w:bidi w:val="0"/>
              <w:spacing w:before="0" w:after="283"/>
              <w:jc w:val="left"/>
              <w:rPr>
                <w:sz w:val="18"/>
              </w:rPr>
            </w:pPr>
            <w:r>
              <w:rPr>
                <w:sz w:val="18"/>
              </w:rPr>
              <w:t>Common stock issued for cash,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34" w:name="xdx_982_eus-gaap--StockIssuedDuringPerio"/>
            <w:bookmarkEnd w:id="134"/>
          </w:p>
        </w:tc>
        <w:tc>
          <w:tcPr>
            <w:tcW w:w="740" w:type="dxa"/>
            <w:tcBorders/>
            <w:shd w:fill="EEEEEE" w:val="clear"/>
            <w:vAlign w:val="center"/>
          </w:tcPr>
          <w:p>
            <w:pPr>
              <w:pStyle w:val="TableContents"/>
              <w:bidi w:val="0"/>
              <w:spacing w:before="0" w:after="283"/>
              <w:jc w:val="right"/>
              <w:rPr>
                <w:sz w:val="18"/>
              </w:rPr>
            </w:pPr>
            <w:r>
              <w:rPr>
                <w:sz w:val="18"/>
              </w:rPr>
              <w:t>13,194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660</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1,969,094</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1,969,107</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35" w:name="xdx_404_eus-gaap--StockIssuedDuringPerio"/>
            <w:bookmarkEnd w:id="135"/>
          </w:p>
        </w:tc>
      </w:tr>
      <w:tr>
        <w:trPr/>
        <w:tc>
          <w:tcPr>
            <w:tcW w:w="3485" w:type="dxa"/>
            <w:tcBorders/>
            <w:shd w:fill="EEEEEE" w:val="clear"/>
            <w:vAlign w:val="center"/>
          </w:tcPr>
          <w:p>
            <w:pPr>
              <w:pStyle w:val="TableContents"/>
              <w:bidi w:val="0"/>
              <w:spacing w:before="0" w:after="283"/>
              <w:jc w:val="left"/>
              <w:rPr>
                <w:sz w:val="18"/>
              </w:rPr>
            </w:pPr>
            <w:r>
              <w:rPr>
                <w:sz w:val="18"/>
              </w:rPr>
              <w:t>Exercise of warrants</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36" w:name="xdx_98B_eus-gaap--StockIssuedDuringPerio"/>
            <w:bookmarkEnd w:id="136"/>
          </w:p>
        </w:tc>
        <w:tc>
          <w:tcPr>
            <w:tcW w:w="740" w:type="dxa"/>
            <w:tcBorders/>
            <w:shd w:fill="EEEEEE" w:val="clear"/>
            <w:vAlign w:val="center"/>
          </w:tcPr>
          <w:p>
            <w:pPr>
              <w:pStyle w:val="TableContents"/>
              <w:bidi w:val="0"/>
              <w:spacing w:before="0" w:after="283"/>
              <w:jc w:val="right"/>
              <w:rPr>
                <w:sz w:val="18"/>
              </w:rPr>
            </w:pPr>
            <w:r>
              <w:rPr>
                <w:sz w:val="18"/>
              </w:rPr>
              <w:t>25,100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sz w:val="18"/>
              </w:rPr>
            </w:pPr>
            <w:r>
              <w:rPr>
                <w:sz w:val="18"/>
              </w:rPr>
              <w:t>25</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725,034</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725,059</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37" w:name="xdx_40D_eus-gaap--AdjustmentsToAdditiona"/>
            <w:bookmarkEnd w:id="137"/>
          </w:p>
        </w:tc>
      </w:tr>
      <w:tr>
        <w:trPr/>
        <w:tc>
          <w:tcPr>
            <w:tcW w:w="3485" w:type="dxa"/>
            <w:tcBorders/>
            <w:shd w:fill="EEEEEE" w:val="clear"/>
            <w:vAlign w:val="center"/>
          </w:tcPr>
          <w:p>
            <w:pPr>
              <w:pStyle w:val="TableContents"/>
              <w:bidi w:val="0"/>
              <w:spacing w:before="0" w:after="283"/>
              <w:jc w:val="left"/>
              <w:rPr>
                <w:sz w:val="18"/>
              </w:rPr>
            </w:pPr>
            <w:r>
              <w:rPr>
                <w:sz w:val="18"/>
              </w:rPr>
              <w:t>Stock-based compensation</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432" w:type="dxa"/>
            <w:tcBorders/>
            <w:shd w:fill="EEEEEE" w:val="cle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8"/>
              </w:rPr>
            </w:pPr>
            <w:r>
              <w:rPr>
                <w:sz w:val="18"/>
              </w:rPr>
              <w:t>289,670</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p>
        </w:tc>
        <w:tc>
          <w:tcPr>
            <w:tcW w:w="911" w:type="dxa"/>
            <w:tcBorders/>
            <w:shd w:fill="EEEEEE" w:val="clear"/>
            <w:vAlign w:val="center"/>
          </w:tcPr>
          <w:p>
            <w:pPr>
              <w:pStyle w:val="TableContents"/>
              <w:bidi w:val="0"/>
              <w:spacing w:before="0" w:after="283"/>
              <w:jc w:val="right"/>
              <w:rPr>
                <w:sz w:val="18"/>
              </w:rPr>
            </w:pPr>
            <w:r>
              <w:rPr>
                <w:sz w:val="18"/>
              </w:rPr>
              <w:t>289,670</w:t>
            </w:r>
          </w:p>
        </w:tc>
        <w:tc>
          <w:tcPr>
            <w:tcW w:w="108" w:type="dxa"/>
            <w:tcBorders/>
            <w:shd w:fill="EEEEEE" w:val="clear"/>
            <w:vAlign w:val="center"/>
          </w:tcPr>
          <w:p>
            <w:pPr>
              <w:pStyle w:val="TableContents"/>
              <w:bidi w:val="0"/>
              <w:spacing w:before="0" w:after="283"/>
              <w:jc w:val="left"/>
              <w:rPr/>
            </w:pPr>
            <w:r>
              <w:rPr/>
              <w:t> </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38" w:name="xdx_405_eus-gaap--NetIncomeLoss_zhemj7Va"/>
            <w:bookmarkEnd w:id="138"/>
          </w:p>
        </w:tc>
      </w:tr>
      <w:tr>
        <w:trPr/>
        <w:tc>
          <w:tcPr>
            <w:tcW w:w="3485" w:type="dxa"/>
            <w:tcBorders/>
            <w:shd w:fill="EEEEEE" w:val="clear"/>
            <w:vAlign w:val="center"/>
          </w:tcPr>
          <w:p>
            <w:pPr>
              <w:pStyle w:val="TableContents"/>
              <w:bidi w:val="0"/>
              <w:spacing w:before="0" w:after="283"/>
              <w:jc w:val="left"/>
              <w:rPr>
                <w:sz w:val="18"/>
              </w:rPr>
            </w:pPr>
            <w:r>
              <w:rPr>
                <w:sz w:val="18"/>
              </w:rPr>
              <w:t>Net loss</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74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432"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3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890" w:type="dxa"/>
            <w:tcBorders>
              <w:bottom w:val="single" w:sz="8" w:space="0" w:color="000000"/>
            </w:tcBorders>
            <w:shd w:fill="EEEEEE" w:val="clear"/>
            <w:tcMar>
              <w:bottom w:w="28" w:type="dxa"/>
            </w:tcMar>
            <w:vAlign w:val="center"/>
          </w:tcPr>
          <w:p>
            <w:pPr>
              <w:pStyle w:val="TableContents"/>
              <w:bidi w:val="0"/>
              <w:spacing w:before="0" w:after="283"/>
              <w:jc w:val="right"/>
              <w:rPr>
                <w:sz w:val="18"/>
              </w:rPr>
            </w:pPr>
            <w:r>
              <w:rPr>
                <w:sz w:val="18"/>
              </w:rPr>
              <w:t>(4,021,234</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911" w:type="dxa"/>
            <w:tcBorders>
              <w:bottom w:val="single" w:sz="8" w:space="0" w:color="000000"/>
            </w:tcBorders>
            <w:shd w:fill="EEEEEE" w:val="clear"/>
            <w:tcMar>
              <w:bottom w:w="28" w:type="dxa"/>
            </w:tcMar>
            <w:vAlign w:val="center"/>
          </w:tcPr>
          <w:p>
            <w:pPr>
              <w:pStyle w:val="TableContents"/>
              <w:bidi w:val="0"/>
              <w:spacing w:before="0" w:after="283"/>
              <w:jc w:val="right"/>
              <w:rPr>
                <w:sz w:val="18"/>
              </w:rPr>
            </w:pPr>
            <w:r>
              <w:rPr>
                <w:sz w:val="18"/>
              </w:rPr>
              <w:t>(4,021,234</w:t>
            </w:r>
          </w:p>
        </w:tc>
        <w:tc>
          <w:tcPr>
            <w:tcW w:w="108" w:type="dxa"/>
            <w:tcBorders/>
            <w:shd w:fill="EEEEEE" w:val="clear"/>
            <w:vAlign w:val="center"/>
          </w:tcPr>
          <w:p>
            <w:pPr>
              <w:pStyle w:val="TableContents"/>
              <w:bidi w:val="0"/>
              <w:spacing w:before="0" w:after="283"/>
              <w:jc w:val="left"/>
              <w:rPr>
                <w:sz w:val="18"/>
              </w:rPr>
            </w:pPr>
            <w:r>
              <w:rPr>
                <w:sz w:val="18"/>
              </w:rPr>
              <w:t>)</w:t>
            </w:r>
          </w:p>
        </w:tc>
      </w:tr>
      <w:tr>
        <w:trPr/>
        <w:tc>
          <w:tcPr>
            <w:tcW w:w="34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432" w:type="dxa"/>
            <w:tcBorders/>
            <w:shd w:fill="FFFFFF" w:val="clear"/>
            <w:vAlign w:val="center"/>
          </w:tcPr>
          <w:p>
            <w:pPr>
              <w:pStyle w:val="TableContents"/>
              <w:bidi w:val="0"/>
              <w:spacing w:before="0" w:after="283"/>
              <w:jc w:val="right"/>
              <w:rPr/>
            </w:pPr>
            <w:r>
              <w:rPr/>
              <w:t> </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p>
        </w:tc>
        <w:tc>
          <w:tcPr>
            <w:tcW w:w="911" w:type="dxa"/>
            <w:tcBorders/>
            <w:shd w:fill="FFFFFF" w:val="clear"/>
            <w:vAlign w:val="center"/>
          </w:tcPr>
          <w:p>
            <w:pPr>
              <w:pStyle w:val="TableContents"/>
              <w:bidi w:val="0"/>
              <w:spacing w:before="0" w:after="283"/>
              <w:jc w:val="right"/>
              <w:rPr/>
            </w:pPr>
            <w:r>
              <w:rPr/>
              <w:t> </w:t>
            </w:r>
          </w:p>
        </w:tc>
        <w:tc>
          <w:tcPr>
            <w:tcW w:w="108" w:type="dxa"/>
            <w:tcBorders/>
            <w:shd w:fill="FFFFFF" w:val="clear"/>
            <w:vAlign w:val="center"/>
          </w:tcPr>
          <w:p>
            <w:pPr>
              <w:pStyle w:val="TableContents"/>
              <w:bidi w:val="0"/>
              <w:spacing w:before="0" w:after="283"/>
              <w:jc w:val="left"/>
              <w:rPr/>
            </w:pPr>
            <w:r>
              <w:rPr/>
              <w:t> </w:t>
            </w:r>
            <w:bookmarkStart w:id="139" w:name="xdx_43E_c20230401__20230630_eus-gaap--St"/>
            <w:bookmarkEnd w:id="139"/>
          </w:p>
        </w:tc>
      </w:tr>
      <w:tr>
        <w:trPr/>
        <w:tc>
          <w:tcPr>
            <w:tcW w:w="3485" w:type="dxa"/>
            <w:tcBorders/>
            <w:shd w:fill="EEEEEE" w:val="clear"/>
            <w:vAlign w:val="center"/>
          </w:tcPr>
          <w:p>
            <w:pPr>
              <w:pStyle w:val="TableContents"/>
              <w:bidi w:val="0"/>
              <w:spacing w:before="0" w:after="283"/>
              <w:jc w:val="left"/>
              <w:rPr>
                <w:sz w:val="18"/>
              </w:rPr>
            </w:pPr>
            <w:r>
              <w:rPr>
                <w:sz w:val="18"/>
              </w:rPr>
              <w:t>Balance, June 30, 2023</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140" w:name="xdx_989_eus-gaap--SharesOutstanding_iE_c"/>
            <w:bookmarkEnd w:id="140"/>
          </w:p>
        </w:tc>
        <w:tc>
          <w:tcPr>
            <w:tcW w:w="740"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82,821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double" w:sz="6" w:space="0" w:color="000000"/>
            </w:tcBorders>
            <w:shd w:fill="EEEEEE" w:val="clear"/>
            <w:tcMar>
              <w:bottom w:w="28" w:type="dxa"/>
            </w:tcMar>
            <w:vAlign w:val="center"/>
          </w:tcPr>
          <w:p>
            <w:pPr>
              <w:pStyle w:val="TableContents"/>
              <w:bidi w:val="0"/>
              <w:spacing w:before="0" w:after="283"/>
              <w:jc w:val="left"/>
              <w:rPr>
                <w:sz w:val="18"/>
              </w:rPr>
            </w:pPr>
            <w:r>
              <w:rPr>
                <w:sz w:val="18"/>
              </w:rPr>
              <w:t>$</w:t>
            </w:r>
          </w:p>
        </w:tc>
        <w:tc>
          <w:tcPr>
            <w:tcW w:w="432"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82</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double" w:sz="6" w:space="0" w:color="000000"/>
            </w:tcBorders>
            <w:shd w:fill="EEEEEE" w:val="clear"/>
            <w:tcMar>
              <w:bottom w:w="28" w:type="dxa"/>
            </w:tcMar>
            <w:vAlign w:val="center"/>
          </w:tcPr>
          <w:p>
            <w:pPr>
              <w:pStyle w:val="TableContents"/>
              <w:bidi w:val="0"/>
              <w:spacing w:before="0" w:after="283"/>
              <w:jc w:val="left"/>
              <w:rPr>
                <w:sz w:val="18"/>
              </w:rPr>
            </w:pPr>
            <w:r>
              <w:rPr>
                <w:sz w:val="18"/>
              </w:rPr>
              <w:t>$</w:t>
            </w:r>
          </w:p>
        </w:tc>
        <w:tc>
          <w:tcPr>
            <w:tcW w:w="830"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62,123,209</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 w:type="dxa"/>
            <w:tcBorders>
              <w:bottom w:val="double" w:sz="6" w:space="0" w:color="000000"/>
            </w:tcBorders>
            <w:shd w:fill="EEEEEE" w:val="clear"/>
            <w:tcMar>
              <w:bottom w:w="28" w:type="dxa"/>
            </w:tcMar>
            <w:vAlign w:val="center"/>
          </w:tcPr>
          <w:p>
            <w:pPr>
              <w:pStyle w:val="TableContents"/>
              <w:bidi w:val="0"/>
              <w:spacing w:before="0" w:after="283"/>
              <w:jc w:val="left"/>
              <w:rPr>
                <w:sz w:val="18"/>
              </w:rPr>
            </w:pPr>
            <w:r>
              <w:rPr>
                <w:sz w:val="18"/>
              </w:rPr>
              <w:t>$</w:t>
            </w:r>
          </w:p>
        </w:tc>
        <w:tc>
          <w:tcPr>
            <w:tcW w:w="890"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(59,668,858</w:t>
            </w:r>
          </w:p>
        </w:tc>
        <w:tc>
          <w:tcPr>
            <w:tcW w:w="80" w:type="dxa"/>
            <w:tcBorders/>
            <w:shd w:fill="EEEEEE" w:val="clear"/>
            <w:vAlign w:val="center"/>
          </w:tcPr>
          <w:p>
            <w:pPr>
              <w:pStyle w:val="TableContents"/>
              <w:bidi w:val="0"/>
              <w:spacing w:before="0" w:after="283"/>
              <w:jc w:val="left"/>
              <w:rPr>
                <w:sz w:val="18"/>
              </w:rPr>
            </w:pPr>
            <w:r>
              <w:rPr>
                <w:sz w:val="18"/>
              </w:rPr>
              <w:t>)</w:t>
            </w:r>
          </w:p>
        </w:tc>
        <w:tc>
          <w:tcPr>
            <w:tcW w:w="60" w:type="dxa"/>
            <w:tcBorders/>
            <w:shd w:fill="EEEEEE" w:val="clear"/>
            <w:vAlign w:val="center"/>
          </w:tcPr>
          <w:p>
            <w:pPr>
              <w:pStyle w:val="TableContents"/>
              <w:bidi w:val="0"/>
              <w:spacing w:before="0" w:after="283"/>
              <w:jc w:val="left"/>
              <w:rPr/>
            </w:pPr>
            <w:r>
              <w:rPr/>
              <w:t> </w:t>
            </w:r>
          </w:p>
        </w:tc>
        <w:tc>
          <w:tcPr>
            <w:tcW w:w="125" w:type="dxa"/>
            <w:tcBorders>
              <w:bottom w:val="double" w:sz="6" w:space="0" w:color="000000"/>
            </w:tcBorders>
            <w:shd w:fill="EEEEEE" w:val="clear"/>
            <w:tcMar>
              <w:bottom w:w="28" w:type="dxa"/>
            </w:tcMar>
            <w:vAlign w:val="center"/>
          </w:tcPr>
          <w:p>
            <w:pPr>
              <w:pStyle w:val="TableContents"/>
              <w:bidi w:val="0"/>
              <w:spacing w:before="0" w:after="283"/>
              <w:jc w:val="left"/>
              <w:rPr>
                <w:sz w:val="18"/>
              </w:rPr>
            </w:pPr>
            <w:r>
              <w:rPr>
                <w:sz w:val="18"/>
              </w:rPr>
              <w:t>$</w:t>
            </w:r>
          </w:p>
        </w:tc>
        <w:tc>
          <w:tcPr>
            <w:tcW w:w="911" w:type="dxa"/>
            <w:tcBorders>
              <w:bottom w:val="double" w:sz="6" w:space="0" w:color="000000"/>
            </w:tcBorders>
            <w:shd w:fill="EEEEEE" w:val="clear"/>
            <w:tcMar>
              <w:bottom w:w="28" w:type="dxa"/>
            </w:tcMar>
            <w:vAlign w:val="center"/>
          </w:tcPr>
          <w:p>
            <w:pPr>
              <w:pStyle w:val="TableContents"/>
              <w:bidi w:val="0"/>
              <w:spacing w:before="0" w:after="283"/>
              <w:jc w:val="right"/>
              <w:rPr>
                <w:sz w:val="18"/>
              </w:rPr>
            </w:pPr>
            <w:r>
              <w:rPr>
                <w:sz w:val="18"/>
              </w:rPr>
              <w:t>2,454,433</w:t>
            </w:r>
          </w:p>
        </w:tc>
        <w:tc>
          <w:tcPr>
            <w:tcW w:w="108" w:type="dxa"/>
            <w:tcBorders/>
            <w:shd w:fill="EEEEEE" w:val="clear"/>
            <w:vAlign w:val="center"/>
          </w:tcPr>
          <w:p>
            <w:pPr>
              <w:pStyle w:val="TableContents"/>
              <w:bidi w:val="0"/>
              <w:spacing w:before="0" w:after="283"/>
              <w:jc w:val="left"/>
              <w:rPr/>
            </w:pPr>
            <w:r>
              <w:rPr/>
              <w:t> </w:t>
            </w:r>
          </w:p>
        </w:tc>
      </w:tr>
    </w:tbl>
    <w:p>
      <w:pPr>
        <w:pStyle w:val="TextBody"/>
        <w:bidi w:val="0"/>
        <w:spacing w:before="0" w:after="283"/>
        <w:jc w:val="left"/>
        <w:rPr/>
      </w:pPr>
      <w:r>
        <w:rPr/>
        <w:t> </w:t>
      </w:r>
    </w:p>
    <w:p>
      <w:pPr>
        <w:pStyle w:val="TextBody"/>
        <w:bidi w:val="0"/>
        <w:spacing w:before="0" w:after="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unaudited financial statements.</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jc w:val="center"/>
        <w:rPr>
          <w:rFonts w:ascii="Times New Roman;Times;Serif" w:hAnsi="Times New Roman;Times;Serif"/>
          <w:b/>
          <w:i w:val="false"/>
          <w:caps w:val="false"/>
          <w:smallCaps w:val="false"/>
          <w:sz w:val="20"/>
        </w:rPr>
      </w:pPr>
      <w:bookmarkStart w:id="141" w:name="q2_007"/>
      <w:bookmarkEnd w:id="141"/>
      <w:r>
        <w:rPr>
          <w:rFonts w:ascii="Times New Roman;Times;Serif" w:hAnsi="Times New Roman;Times;Serif"/>
          <w:b/>
          <w:i w:val="false"/>
          <w:caps w:val="false"/>
          <w:smallCaps w:val="false"/>
          <w:sz w:val="20"/>
        </w:rPr>
        <w:t>Statements of Cash Flows</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jc w:val="center"/>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142" w:name="xdx_300_112_zrH0KOw15df1"/>
      <w:bookmarkStart w:id="143" w:name="xdx_300_112_zrH0KOw15df1"/>
      <w:bookmarkEnd w:id="143"/>
    </w:p>
    <w:tbl>
      <w:tblPr>
        <w:tblW w:w="10205" w:type="dxa"/>
        <w:jc w:val="left"/>
        <w:tblInd w:w="0" w:type="dxa"/>
        <w:tblLayout w:type="fixed"/>
        <w:tblCellMar>
          <w:top w:w="0" w:type="dxa"/>
          <w:left w:w="0" w:type="dxa"/>
          <w:bottom w:w="0" w:type="dxa"/>
          <w:right w:w="0" w:type="dxa"/>
        </w:tblCellMar>
      </w:tblPr>
      <w:tblGrid>
        <w:gridCol w:w="6544"/>
        <w:gridCol w:w="60"/>
        <w:gridCol w:w="191"/>
        <w:gridCol w:w="1441"/>
        <w:gridCol w:w="129"/>
        <w:gridCol w:w="60"/>
        <w:gridCol w:w="184"/>
        <w:gridCol w:w="1450"/>
        <w:gridCol w:w="146"/>
      </w:tblGrid>
      <w:tr>
        <w:trPr/>
        <w:tc>
          <w:tcPr>
            <w:tcW w:w="6544"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91" w:type="dxa"/>
            <w:tcBorders/>
            <w:vAlign w:val="center"/>
          </w:tcPr>
          <w:p>
            <w:pPr>
              <w:pStyle w:val="TableContents"/>
              <w:bidi w:val="0"/>
              <w:spacing w:before="0" w:after="283"/>
              <w:jc w:val="left"/>
              <w:rPr/>
            </w:pPr>
            <w:r>
              <w:rPr/>
              <w:t> </w:t>
            </w:r>
            <w:bookmarkStart w:id="144" w:name="xdx_49D_20240101__20240630_z5fovl1BR78f"/>
            <w:bookmarkEnd w:id="144"/>
          </w:p>
        </w:tc>
        <w:tc>
          <w:tcPr>
            <w:tcW w:w="1441" w:type="dxa"/>
            <w:tcBorders/>
            <w:vAlign w:val="center"/>
          </w:tcPr>
          <w:p>
            <w:pPr>
              <w:pStyle w:val="TableContents"/>
              <w:bidi w:val="0"/>
              <w:spacing w:before="0" w:after="283"/>
              <w:jc w:val="center"/>
              <w:rPr/>
            </w:pPr>
            <w:r>
              <w:rPr/>
              <w:t> </w:t>
            </w:r>
          </w:p>
        </w:tc>
        <w:tc>
          <w:tcPr>
            <w:tcW w:w="129"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84" w:type="dxa"/>
            <w:tcBorders/>
            <w:vAlign w:val="center"/>
          </w:tcPr>
          <w:p>
            <w:pPr>
              <w:pStyle w:val="TableContents"/>
              <w:bidi w:val="0"/>
              <w:spacing w:before="0" w:after="283"/>
              <w:jc w:val="left"/>
              <w:rPr/>
            </w:pPr>
            <w:r>
              <w:rPr/>
              <w:t> </w:t>
            </w:r>
            <w:bookmarkStart w:id="145" w:name="xdx_49D_20230101__20230630_zyle77D4oTE2"/>
            <w:bookmarkEnd w:id="145"/>
          </w:p>
        </w:tc>
        <w:tc>
          <w:tcPr>
            <w:tcW w:w="1450" w:type="dxa"/>
            <w:tcBorders/>
            <w:vAlign w:val="center"/>
          </w:tcPr>
          <w:p>
            <w:pPr>
              <w:pStyle w:val="TableContents"/>
              <w:bidi w:val="0"/>
              <w:spacing w:before="0" w:after="283"/>
              <w:jc w:val="center"/>
              <w:rPr/>
            </w:pPr>
            <w:r>
              <w:rPr/>
              <w:t> </w:t>
            </w:r>
          </w:p>
        </w:tc>
        <w:tc>
          <w:tcPr>
            <w:tcW w:w="146" w:type="dxa"/>
            <w:tcBorders/>
            <w:vAlign w:val="center"/>
          </w:tcPr>
          <w:p>
            <w:pPr>
              <w:pStyle w:val="TableContents"/>
              <w:bidi w:val="0"/>
              <w:spacing w:before="0" w:after="283"/>
              <w:jc w:val="left"/>
              <w:rPr/>
            </w:pPr>
            <w:r>
              <w:rPr/>
              <w:t> </w:t>
            </w:r>
          </w:p>
        </w:tc>
      </w:tr>
      <w:tr>
        <w:trPr/>
        <w:tc>
          <w:tcPr>
            <w:tcW w:w="6544"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761" w:type="dxa"/>
            <w:gridSpan w:val="3"/>
            <w:tcBorders/>
            <w:vAlign w:val="center"/>
          </w:tcPr>
          <w:p>
            <w:pPr>
              <w:pStyle w:val="TableContents"/>
              <w:bidi w:val="0"/>
              <w:spacing w:before="0" w:after="283"/>
              <w:jc w:val="center"/>
              <w:rPr/>
            </w:pPr>
            <w:r>
              <w:rPr/>
              <w:t>Six Months Ended</w:t>
            </w:r>
          </w:p>
        </w:tc>
        <w:tc>
          <w:tcPr>
            <w:tcW w:w="60" w:type="dxa"/>
            <w:tcBorders/>
            <w:vAlign w:val="center"/>
          </w:tcPr>
          <w:p>
            <w:pPr>
              <w:pStyle w:val="TableContents"/>
              <w:bidi w:val="0"/>
              <w:spacing w:before="0" w:after="283"/>
              <w:jc w:val="left"/>
              <w:rPr/>
            </w:pPr>
            <w:r>
              <w:rPr/>
              <w:t> </w:t>
            </w:r>
          </w:p>
        </w:tc>
        <w:tc>
          <w:tcPr>
            <w:tcW w:w="1780" w:type="dxa"/>
            <w:gridSpan w:val="3"/>
            <w:tcBorders/>
            <w:vAlign w:val="center"/>
          </w:tcPr>
          <w:p>
            <w:pPr>
              <w:pStyle w:val="TableContents"/>
              <w:bidi w:val="0"/>
              <w:spacing w:before="0" w:after="283"/>
              <w:jc w:val="center"/>
              <w:rPr/>
            </w:pPr>
            <w:r>
              <w:rPr/>
              <w:t>Six Months Ended</w:t>
            </w:r>
          </w:p>
        </w:tc>
      </w:tr>
      <w:tr>
        <w:trPr/>
        <w:tc>
          <w:tcPr>
            <w:tcW w:w="6544"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761" w:type="dxa"/>
            <w:gridSpan w:val="3"/>
            <w:tcBorders>
              <w:bottom w:val="single" w:sz="8" w:space="0" w:color="000000"/>
            </w:tcBorders>
            <w:tcMar>
              <w:bottom w:w="28" w:type="dxa"/>
            </w:tcMar>
            <w:vAlign w:val="center"/>
          </w:tcPr>
          <w:p>
            <w:pPr>
              <w:pStyle w:val="TableContents"/>
              <w:bidi w:val="0"/>
              <w:spacing w:before="0" w:after="283"/>
              <w:jc w:val="center"/>
              <w:rPr/>
            </w:pPr>
            <w:r>
              <w:rPr/>
              <w:t>June 30, 2024</w:t>
            </w:r>
          </w:p>
        </w:tc>
        <w:tc>
          <w:tcPr>
            <w:tcW w:w="60" w:type="dxa"/>
            <w:tcBorders/>
            <w:vAlign w:val="center"/>
          </w:tcPr>
          <w:p>
            <w:pPr>
              <w:pStyle w:val="TableContents"/>
              <w:bidi w:val="0"/>
              <w:spacing w:before="0" w:after="283"/>
              <w:jc w:val="left"/>
              <w:rPr/>
            </w:pPr>
            <w:r>
              <w:rPr/>
              <w:t> </w:t>
            </w:r>
          </w:p>
        </w:tc>
        <w:tc>
          <w:tcPr>
            <w:tcW w:w="1780" w:type="dxa"/>
            <w:gridSpan w:val="3"/>
            <w:tcBorders>
              <w:bottom w:val="single" w:sz="8" w:space="0" w:color="000000"/>
            </w:tcBorders>
            <w:tcMar>
              <w:bottom w:w="28" w:type="dxa"/>
            </w:tcMar>
            <w:vAlign w:val="center"/>
          </w:tcPr>
          <w:p>
            <w:pPr>
              <w:pStyle w:val="TableContents"/>
              <w:bidi w:val="0"/>
              <w:spacing w:before="0" w:after="283"/>
              <w:jc w:val="center"/>
              <w:rPr/>
            </w:pPr>
            <w:r>
              <w:rPr/>
              <w:t>June 30, 2023</w:t>
            </w:r>
          </w:p>
        </w:tc>
      </w:tr>
      <w:tr>
        <w:trPr/>
        <w:tc>
          <w:tcPr>
            <w:tcW w:w="6544"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761" w:type="dxa"/>
            <w:gridSpan w:val="3"/>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780" w:type="dxa"/>
            <w:gridSpan w:val="3"/>
            <w:tcBorders/>
            <w:vAlign w:val="center"/>
          </w:tcPr>
          <w:p>
            <w:pPr>
              <w:pStyle w:val="TableContents"/>
              <w:bidi w:val="0"/>
              <w:spacing w:before="0" w:after="283"/>
              <w:jc w:val="center"/>
              <w:rPr/>
            </w:pPr>
            <w:r>
              <w:rPr/>
              <w:t> </w:t>
            </w:r>
            <w:bookmarkStart w:id="146" w:name="xdx_405_eus-gaap--AdditionalCashFlowElem"/>
            <w:bookmarkEnd w:id="146"/>
          </w:p>
        </w:tc>
      </w:tr>
      <w:tr>
        <w:trPr/>
        <w:tc>
          <w:tcPr>
            <w:tcW w:w="6544" w:type="dxa"/>
            <w:tcBorders/>
            <w:shd w:fill="EEEEEE" w:val="clear"/>
            <w:vAlign w:val="center"/>
          </w:tcPr>
          <w:p>
            <w:pPr>
              <w:pStyle w:val="TableContents"/>
              <w:bidi w:val="0"/>
              <w:spacing w:before="0" w:after="283"/>
              <w:jc w:val="left"/>
              <w:rPr>
                <w:b/>
              </w:rPr>
            </w:pPr>
            <w:r>
              <w:rPr>
                <w:b/>
              </w:rPr>
              <w:t>Cash Flows from Operating Activities:</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 </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 </w:t>
            </w:r>
          </w:p>
        </w:tc>
        <w:tc>
          <w:tcPr>
            <w:tcW w:w="146" w:type="dxa"/>
            <w:tcBorders/>
            <w:shd w:fill="EEEEEE" w:val="clear"/>
            <w:vAlign w:val="center"/>
          </w:tcPr>
          <w:p>
            <w:pPr>
              <w:pStyle w:val="TableContents"/>
              <w:bidi w:val="0"/>
              <w:spacing w:before="0" w:after="283"/>
              <w:jc w:val="left"/>
              <w:rPr/>
            </w:pPr>
            <w:r>
              <w:rPr/>
              <w:t> </w:t>
            </w:r>
            <w:bookmarkStart w:id="147" w:name="xdx_408_eus-gaap--NetIncomeLoss_i01_maCz"/>
            <w:bookmarkEnd w:id="147"/>
          </w:p>
        </w:tc>
      </w:tr>
      <w:tr>
        <w:trPr/>
        <w:tc>
          <w:tcPr>
            <w:tcW w:w="6544" w:type="dxa"/>
            <w:tcBorders/>
            <w:shd w:fill="FFFFFF" w:val="clear"/>
            <w:vAlign w:val="center"/>
          </w:tcPr>
          <w:p>
            <w:pPr>
              <w:pStyle w:val="TableContents"/>
              <w:bidi w:val="0"/>
              <w:spacing w:before="0" w:after="283"/>
              <w:jc w:val="left"/>
              <w:rPr/>
            </w:pPr>
            <w:r>
              <w:rPr/>
              <w:t>Net loss</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w:t>
            </w:r>
          </w:p>
        </w:tc>
        <w:tc>
          <w:tcPr>
            <w:tcW w:w="1441" w:type="dxa"/>
            <w:tcBorders/>
            <w:shd w:fill="FFFFFF" w:val="clear"/>
            <w:vAlign w:val="center"/>
          </w:tcPr>
          <w:p>
            <w:pPr>
              <w:pStyle w:val="TableContents"/>
              <w:bidi w:val="0"/>
              <w:spacing w:before="0" w:after="283"/>
              <w:jc w:val="right"/>
              <w:rPr/>
            </w:pPr>
            <w:r>
              <w:rPr/>
              <w:t>(6,075,501</w:t>
            </w:r>
          </w:p>
        </w:tc>
        <w:tc>
          <w:tcPr>
            <w:tcW w:w="129"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w:t>
            </w:r>
          </w:p>
        </w:tc>
        <w:tc>
          <w:tcPr>
            <w:tcW w:w="1450" w:type="dxa"/>
            <w:tcBorders/>
            <w:shd w:fill="FFFFFF" w:val="clear"/>
            <w:vAlign w:val="center"/>
          </w:tcPr>
          <w:p>
            <w:pPr>
              <w:pStyle w:val="TableContents"/>
              <w:bidi w:val="0"/>
              <w:spacing w:before="0" w:after="283"/>
              <w:jc w:val="right"/>
              <w:rPr/>
            </w:pPr>
            <w:r>
              <w:rPr/>
              <w:t>(8,953,181</w:t>
            </w:r>
          </w:p>
        </w:tc>
        <w:tc>
          <w:tcPr>
            <w:tcW w:w="146" w:type="dxa"/>
            <w:tcBorders/>
            <w:shd w:fill="FFFFFF" w:val="clear"/>
            <w:vAlign w:val="center"/>
          </w:tcPr>
          <w:p>
            <w:pPr>
              <w:pStyle w:val="TableContents"/>
              <w:bidi w:val="0"/>
              <w:spacing w:before="0" w:after="283"/>
              <w:jc w:val="left"/>
              <w:rPr/>
            </w:pPr>
            <w:r>
              <w:rPr/>
              <w:t>)</w:t>
            </w:r>
            <w:bookmarkStart w:id="148" w:name="xdx_401_eus-gaap--AdjustmentsToReconcile"/>
            <w:bookmarkEnd w:id="148"/>
          </w:p>
        </w:tc>
      </w:tr>
      <w:tr>
        <w:trPr/>
        <w:tc>
          <w:tcPr>
            <w:tcW w:w="6544" w:type="dxa"/>
            <w:tcBorders/>
            <w:shd w:fill="EEEEEE" w:val="clear"/>
            <w:vAlign w:val="center"/>
          </w:tcPr>
          <w:p>
            <w:pPr>
              <w:pStyle w:val="TableContents"/>
              <w:bidi w:val="0"/>
              <w:spacing w:before="0" w:after="283"/>
              <w:jc w:val="left"/>
              <w:rPr/>
            </w:pPr>
            <w:r>
              <w:rPr/>
              <w:t>Adjustments to reconcile net loss to net cash used in operating activities:</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 </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 </w:t>
            </w:r>
          </w:p>
        </w:tc>
        <w:tc>
          <w:tcPr>
            <w:tcW w:w="146" w:type="dxa"/>
            <w:tcBorders/>
            <w:shd w:fill="EEEEEE" w:val="clear"/>
            <w:vAlign w:val="center"/>
          </w:tcPr>
          <w:p>
            <w:pPr>
              <w:pStyle w:val="TableContents"/>
              <w:bidi w:val="0"/>
              <w:spacing w:before="0" w:after="283"/>
              <w:jc w:val="left"/>
              <w:rPr/>
            </w:pPr>
            <w:r>
              <w:rPr/>
              <w:t> </w:t>
            </w:r>
            <w:bookmarkStart w:id="149" w:name="xdx_404_eus-gaap--ShareBasedCompensation"/>
            <w:bookmarkEnd w:id="149"/>
          </w:p>
        </w:tc>
      </w:tr>
      <w:tr>
        <w:trPr/>
        <w:tc>
          <w:tcPr>
            <w:tcW w:w="6544" w:type="dxa"/>
            <w:tcBorders/>
            <w:shd w:fill="FFFFFF" w:val="clear"/>
            <w:vAlign w:val="center"/>
          </w:tcPr>
          <w:p>
            <w:pPr>
              <w:pStyle w:val="TableContents"/>
              <w:bidi w:val="0"/>
              <w:spacing w:before="0" w:after="283"/>
              <w:jc w:val="left"/>
              <w:rPr/>
            </w:pPr>
            <w:r>
              <w:rPr/>
              <w:t>Stock-based compensation</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437,278</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579,983</w:t>
            </w:r>
          </w:p>
        </w:tc>
        <w:tc>
          <w:tcPr>
            <w:tcW w:w="146" w:type="dxa"/>
            <w:tcBorders/>
            <w:shd w:fill="FFFFFF" w:val="clear"/>
            <w:vAlign w:val="center"/>
          </w:tcPr>
          <w:p>
            <w:pPr>
              <w:pStyle w:val="TableContents"/>
              <w:bidi w:val="0"/>
              <w:spacing w:before="0" w:after="283"/>
              <w:jc w:val="left"/>
              <w:rPr/>
            </w:pPr>
            <w:r>
              <w:rPr/>
              <w:t> </w:t>
            </w:r>
            <w:bookmarkStart w:id="150" w:name="xdx_400_eus-gaap--Depreciation_i02_maCza"/>
            <w:bookmarkEnd w:id="150"/>
          </w:p>
        </w:tc>
      </w:tr>
      <w:tr>
        <w:trPr/>
        <w:tc>
          <w:tcPr>
            <w:tcW w:w="6544" w:type="dxa"/>
            <w:tcBorders/>
            <w:shd w:fill="EEEEEE" w:val="clear"/>
            <w:vAlign w:val="center"/>
          </w:tcPr>
          <w:p>
            <w:pPr>
              <w:pStyle w:val="TableContents"/>
              <w:bidi w:val="0"/>
              <w:spacing w:before="0" w:after="283"/>
              <w:jc w:val="left"/>
              <w:rPr/>
            </w:pPr>
            <w:r>
              <w:rPr/>
              <w:t>Depreciation</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1,570</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2,282</w:t>
            </w:r>
          </w:p>
        </w:tc>
        <w:tc>
          <w:tcPr>
            <w:tcW w:w="146" w:type="dxa"/>
            <w:tcBorders/>
            <w:shd w:fill="EEEEEE" w:val="clear"/>
            <w:vAlign w:val="center"/>
          </w:tcPr>
          <w:p>
            <w:pPr>
              <w:pStyle w:val="TableContents"/>
              <w:bidi w:val="0"/>
              <w:spacing w:before="0" w:after="283"/>
              <w:jc w:val="left"/>
              <w:rPr/>
            </w:pPr>
            <w:r>
              <w:rPr/>
              <w:t> </w:t>
            </w:r>
            <w:bookmarkStart w:id="151" w:name="xdx_403_eus-gaap--GainLossOnDispositionO"/>
            <w:bookmarkEnd w:id="151"/>
          </w:p>
        </w:tc>
      </w:tr>
      <w:tr>
        <w:trPr/>
        <w:tc>
          <w:tcPr>
            <w:tcW w:w="6544" w:type="dxa"/>
            <w:tcBorders/>
            <w:shd w:fill="FFFFFF" w:val="clear"/>
            <w:vAlign w:val="center"/>
          </w:tcPr>
          <w:p>
            <w:pPr>
              <w:pStyle w:val="TableContents"/>
              <w:bidi w:val="0"/>
              <w:spacing w:before="0" w:after="283"/>
              <w:jc w:val="left"/>
              <w:rPr/>
            </w:pPr>
            <w:r>
              <w:rPr/>
              <w:t>Gain on disposal of fixed assets</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(190</w:t>
            </w:r>
          </w:p>
        </w:tc>
        <w:tc>
          <w:tcPr>
            <w:tcW w:w="129"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w:t>
            </w:r>
          </w:p>
        </w:tc>
        <w:tc>
          <w:tcPr>
            <w:tcW w:w="146" w:type="dxa"/>
            <w:tcBorders/>
            <w:shd w:fill="FFFFFF" w:val="clear"/>
            <w:vAlign w:val="center"/>
          </w:tcPr>
          <w:p>
            <w:pPr>
              <w:pStyle w:val="TableContents"/>
              <w:bidi w:val="0"/>
              <w:spacing w:before="0" w:after="283"/>
              <w:jc w:val="left"/>
              <w:rPr/>
            </w:pPr>
            <w:r>
              <w:rPr/>
              <w:t> </w:t>
            </w:r>
            <w:bookmarkStart w:id="152" w:name="xdx_405_eus-gaap--IncreaseDecreaseInOper"/>
            <w:bookmarkEnd w:id="152"/>
          </w:p>
        </w:tc>
      </w:tr>
      <w:tr>
        <w:trPr/>
        <w:tc>
          <w:tcPr>
            <w:tcW w:w="6544" w:type="dxa"/>
            <w:tcBorders/>
            <w:shd w:fill="EEEEEE" w:val="clear"/>
            <w:vAlign w:val="center"/>
          </w:tcPr>
          <w:p>
            <w:pPr>
              <w:pStyle w:val="TableContents"/>
              <w:bidi w:val="0"/>
              <w:spacing w:before="0" w:after="283"/>
              <w:jc w:val="left"/>
              <w:rPr/>
            </w:pPr>
            <w:r>
              <w:rPr/>
              <w:t>Changes in operating assets and liabilities:</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 </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 </w:t>
            </w:r>
          </w:p>
        </w:tc>
        <w:tc>
          <w:tcPr>
            <w:tcW w:w="146" w:type="dxa"/>
            <w:tcBorders/>
            <w:shd w:fill="EEEEEE" w:val="clear"/>
            <w:vAlign w:val="center"/>
          </w:tcPr>
          <w:p>
            <w:pPr>
              <w:pStyle w:val="TableContents"/>
              <w:bidi w:val="0"/>
              <w:spacing w:before="0" w:after="283"/>
              <w:jc w:val="left"/>
              <w:rPr/>
            </w:pPr>
            <w:r>
              <w:rPr/>
              <w:t> </w:t>
            </w:r>
            <w:bookmarkStart w:id="153" w:name="xdx_408_eus-gaap--IncreaseDecreaseInPrep"/>
            <w:bookmarkEnd w:id="153"/>
          </w:p>
        </w:tc>
      </w:tr>
      <w:tr>
        <w:trPr/>
        <w:tc>
          <w:tcPr>
            <w:tcW w:w="6544" w:type="dxa"/>
            <w:tcBorders/>
            <w:shd w:fill="FFFFFF" w:val="clear"/>
            <w:vAlign w:val="center"/>
          </w:tcPr>
          <w:p>
            <w:pPr>
              <w:pStyle w:val="TableContents"/>
              <w:bidi w:val="0"/>
              <w:spacing w:before="0" w:after="283"/>
              <w:jc w:val="left"/>
              <w:rPr/>
            </w:pPr>
            <w:r>
              <w:rPr/>
              <w:t>Prepaid expenses and other current assets</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(13,067</w:t>
            </w:r>
          </w:p>
        </w:tc>
        <w:tc>
          <w:tcPr>
            <w:tcW w:w="129"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823,073</w:t>
            </w:r>
          </w:p>
        </w:tc>
        <w:tc>
          <w:tcPr>
            <w:tcW w:w="146" w:type="dxa"/>
            <w:tcBorders/>
            <w:shd w:fill="FFFFFF" w:val="clear"/>
            <w:vAlign w:val="center"/>
          </w:tcPr>
          <w:p>
            <w:pPr>
              <w:pStyle w:val="TableContents"/>
              <w:bidi w:val="0"/>
              <w:spacing w:before="0" w:after="283"/>
              <w:jc w:val="left"/>
              <w:rPr/>
            </w:pPr>
            <w:r>
              <w:rPr/>
              <w:t> </w:t>
            </w:r>
            <w:bookmarkStart w:id="154" w:name="xdx_40A_eus-gaap--IncreaseDecreaseInAcco"/>
            <w:bookmarkEnd w:id="154"/>
          </w:p>
        </w:tc>
      </w:tr>
      <w:tr>
        <w:trPr/>
        <w:tc>
          <w:tcPr>
            <w:tcW w:w="6544" w:type="dxa"/>
            <w:tcBorders/>
            <w:shd w:fill="EEEEEE" w:val="clear"/>
            <w:vAlign w:val="center"/>
          </w:tcPr>
          <w:p>
            <w:pPr>
              <w:pStyle w:val="TableContents"/>
              <w:bidi w:val="0"/>
              <w:spacing w:before="0" w:after="283"/>
              <w:jc w:val="left"/>
              <w:rPr/>
            </w:pPr>
            <w:r>
              <w:rPr/>
              <w:t>Accounts payable and accrued expenses</w:t>
            </w:r>
          </w:p>
        </w:tc>
        <w:tc>
          <w:tcPr>
            <w:tcW w:w="60" w:type="dxa"/>
            <w:tcBorders/>
            <w:shd w:fill="EEEEEE" w:val="clear"/>
            <w:vAlign w:val="center"/>
          </w:tcPr>
          <w:p>
            <w:pPr>
              <w:pStyle w:val="TableContents"/>
              <w:bidi w:val="0"/>
              <w:spacing w:before="0" w:after="283"/>
              <w:jc w:val="left"/>
              <w:rPr/>
            </w:pPr>
            <w:r>
              <w:rPr/>
              <w:t> </w:t>
            </w:r>
          </w:p>
        </w:tc>
        <w:tc>
          <w:tcPr>
            <w:tcW w:w="19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41" w:type="dxa"/>
            <w:tcBorders>
              <w:bottom w:val="single" w:sz="8" w:space="0" w:color="000000"/>
            </w:tcBorders>
            <w:shd w:fill="EEEEEE" w:val="clear"/>
            <w:tcMar>
              <w:bottom w:w="28" w:type="dxa"/>
            </w:tcMar>
            <w:vAlign w:val="center"/>
          </w:tcPr>
          <w:p>
            <w:pPr>
              <w:pStyle w:val="TableContents"/>
              <w:bidi w:val="0"/>
              <w:spacing w:before="0" w:after="283"/>
              <w:jc w:val="right"/>
              <w:rPr/>
            </w:pPr>
            <w:r>
              <w:rPr/>
              <w:t>807,460</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50" w:type="dxa"/>
            <w:tcBorders>
              <w:bottom w:val="single" w:sz="8" w:space="0" w:color="000000"/>
            </w:tcBorders>
            <w:shd w:fill="EEEEEE" w:val="clear"/>
            <w:tcMar>
              <w:bottom w:w="28" w:type="dxa"/>
            </w:tcMar>
            <w:vAlign w:val="center"/>
          </w:tcPr>
          <w:p>
            <w:pPr>
              <w:pStyle w:val="TableContents"/>
              <w:bidi w:val="0"/>
              <w:spacing w:before="0" w:after="283"/>
              <w:jc w:val="right"/>
              <w:rPr/>
            </w:pPr>
            <w:r>
              <w:rPr/>
              <w:t>(679,516</w:t>
            </w:r>
          </w:p>
        </w:tc>
        <w:tc>
          <w:tcPr>
            <w:tcW w:w="146" w:type="dxa"/>
            <w:tcBorders/>
            <w:shd w:fill="EEEEEE" w:val="clear"/>
            <w:vAlign w:val="center"/>
          </w:tcPr>
          <w:p>
            <w:pPr>
              <w:pStyle w:val="TableContents"/>
              <w:bidi w:val="0"/>
              <w:spacing w:before="0" w:after="283"/>
              <w:jc w:val="left"/>
              <w:rPr/>
            </w:pPr>
            <w:r>
              <w:rPr/>
              <w:t>)</w:t>
            </w:r>
            <w:bookmarkStart w:id="155" w:name="xdx_403_eus-gaap--NetCashProvidedByUsedI"/>
            <w:bookmarkEnd w:id="155"/>
          </w:p>
        </w:tc>
      </w:tr>
      <w:tr>
        <w:trPr/>
        <w:tc>
          <w:tcPr>
            <w:tcW w:w="6544" w:type="dxa"/>
            <w:tcBorders/>
            <w:shd w:fill="FFFFFF" w:val="clear"/>
            <w:vAlign w:val="center"/>
          </w:tcPr>
          <w:p>
            <w:pPr>
              <w:pStyle w:val="TableContents"/>
              <w:bidi w:val="0"/>
              <w:spacing w:before="0" w:after="283"/>
              <w:jc w:val="left"/>
              <w:rPr/>
            </w:pPr>
            <w:r>
              <w:rPr/>
              <w:t>Net cash used in operating activities</w:t>
            </w:r>
          </w:p>
        </w:tc>
        <w:tc>
          <w:tcPr>
            <w:tcW w:w="60" w:type="dxa"/>
            <w:tcBorders/>
            <w:shd w:fill="FFFFFF" w:val="clear"/>
            <w:vAlign w:val="center"/>
          </w:tcPr>
          <w:p>
            <w:pPr>
              <w:pStyle w:val="TableContents"/>
              <w:bidi w:val="0"/>
              <w:spacing w:before="0" w:after="283"/>
              <w:jc w:val="left"/>
              <w:rPr/>
            </w:pPr>
            <w:r>
              <w:rPr/>
              <w:t> </w:t>
            </w:r>
          </w:p>
        </w:tc>
        <w:tc>
          <w:tcPr>
            <w:tcW w:w="19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41" w:type="dxa"/>
            <w:tcBorders>
              <w:bottom w:val="single" w:sz="8" w:space="0" w:color="000000"/>
            </w:tcBorders>
            <w:shd w:fill="FFFFFF" w:val="clear"/>
            <w:tcMar>
              <w:bottom w:w="28" w:type="dxa"/>
            </w:tcMar>
            <w:vAlign w:val="center"/>
          </w:tcPr>
          <w:p>
            <w:pPr>
              <w:pStyle w:val="TableContents"/>
              <w:bidi w:val="0"/>
              <w:spacing w:before="0" w:after="283"/>
              <w:jc w:val="right"/>
              <w:rPr/>
            </w:pPr>
            <w:r>
              <w:rPr/>
              <w:t>(4,842,450</w:t>
            </w:r>
          </w:p>
        </w:tc>
        <w:tc>
          <w:tcPr>
            <w:tcW w:w="129"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8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50" w:type="dxa"/>
            <w:tcBorders>
              <w:bottom w:val="single" w:sz="8" w:space="0" w:color="000000"/>
            </w:tcBorders>
            <w:shd w:fill="FFFFFF" w:val="clear"/>
            <w:tcMar>
              <w:bottom w:w="28" w:type="dxa"/>
            </w:tcMar>
            <w:vAlign w:val="center"/>
          </w:tcPr>
          <w:p>
            <w:pPr>
              <w:pStyle w:val="TableContents"/>
              <w:bidi w:val="0"/>
              <w:spacing w:before="0" w:after="283"/>
              <w:jc w:val="right"/>
              <w:rPr/>
            </w:pPr>
            <w:r>
              <w:rPr/>
              <w:t>(8,227,359</w:t>
            </w:r>
          </w:p>
        </w:tc>
        <w:tc>
          <w:tcPr>
            <w:tcW w:w="146" w:type="dxa"/>
            <w:tcBorders/>
            <w:shd w:fill="FFFFFF" w:val="clear"/>
            <w:vAlign w:val="center"/>
          </w:tcPr>
          <w:p>
            <w:pPr>
              <w:pStyle w:val="TableContents"/>
              <w:bidi w:val="0"/>
              <w:spacing w:before="0" w:after="283"/>
              <w:jc w:val="left"/>
              <w:rPr/>
            </w:pPr>
            <w:r>
              <w:rPr/>
              <w:t>)</w:t>
            </w:r>
          </w:p>
        </w:tc>
      </w:tr>
      <w:tr>
        <w:trPr/>
        <w:tc>
          <w:tcPr>
            <w:tcW w:w="6544"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 </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 </w:t>
            </w:r>
          </w:p>
        </w:tc>
        <w:tc>
          <w:tcPr>
            <w:tcW w:w="146" w:type="dxa"/>
            <w:tcBorders/>
            <w:shd w:fill="EEEEEE" w:val="clear"/>
            <w:vAlign w:val="center"/>
          </w:tcPr>
          <w:p>
            <w:pPr>
              <w:pStyle w:val="TableContents"/>
              <w:bidi w:val="0"/>
              <w:spacing w:before="0" w:after="283"/>
              <w:jc w:val="left"/>
              <w:rPr/>
            </w:pPr>
            <w:r>
              <w:rPr/>
              <w:t> </w:t>
            </w:r>
            <w:bookmarkStart w:id="156" w:name="xdx_40B_eus-gaap--NetCashProvidedByUsedI"/>
            <w:bookmarkEnd w:id="156"/>
          </w:p>
        </w:tc>
      </w:tr>
      <w:tr>
        <w:trPr/>
        <w:tc>
          <w:tcPr>
            <w:tcW w:w="6544" w:type="dxa"/>
            <w:tcBorders/>
            <w:shd w:fill="FFFFFF" w:val="clear"/>
            <w:vAlign w:val="center"/>
          </w:tcPr>
          <w:p>
            <w:pPr>
              <w:pStyle w:val="TableContents"/>
              <w:bidi w:val="0"/>
              <w:spacing w:before="0" w:after="283"/>
              <w:jc w:val="left"/>
              <w:rPr>
                <w:b/>
              </w:rPr>
            </w:pPr>
            <w:r>
              <w:rPr>
                <w:b/>
              </w:rPr>
              <w:t>Cash Flows from Financing Activities:</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 </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 </w:t>
            </w:r>
          </w:p>
        </w:tc>
        <w:tc>
          <w:tcPr>
            <w:tcW w:w="146" w:type="dxa"/>
            <w:tcBorders/>
            <w:shd w:fill="FFFFFF" w:val="clear"/>
            <w:vAlign w:val="center"/>
          </w:tcPr>
          <w:p>
            <w:pPr>
              <w:pStyle w:val="TableContents"/>
              <w:bidi w:val="0"/>
              <w:spacing w:before="0" w:after="283"/>
              <w:jc w:val="left"/>
              <w:rPr/>
            </w:pPr>
            <w:r>
              <w:rPr/>
              <w:t> </w:t>
            </w:r>
            <w:bookmarkStart w:id="157" w:name="xdx_405_eus-gaap--PaymentsForRepurchaseO"/>
            <w:bookmarkEnd w:id="157"/>
          </w:p>
        </w:tc>
      </w:tr>
      <w:tr>
        <w:trPr/>
        <w:tc>
          <w:tcPr>
            <w:tcW w:w="6544" w:type="dxa"/>
            <w:tcBorders/>
            <w:shd w:fill="EEEEEE" w:val="clear"/>
            <w:vAlign w:val="center"/>
          </w:tcPr>
          <w:p>
            <w:pPr>
              <w:pStyle w:val="TableContents"/>
              <w:bidi w:val="0"/>
              <w:spacing w:before="0" w:after="283"/>
              <w:jc w:val="left"/>
              <w:rPr/>
            </w:pPr>
            <w:r>
              <w:rPr/>
              <w:t>Payments of deferred offering costs</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(16,750</w:t>
            </w:r>
          </w:p>
        </w:tc>
        <w:tc>
          <w:tcPr>
            <w:tcW w:w="129"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w:t>
            </w:r>
          </w:p>
        </w:tc>
        <w:tc>
          <w:tcPr>
            <w:tcW w:w="146" w:type="dxa"/>
            <w:tcBorders/>
            <w:shd w:fill="EEEEEE" w:val="clear"/>
            <w:vAlign w:val="center"/>
          </w:tcPr>
          <w:p>
            <w:pPr>
              <w:pStyle w:val="TableContents"/>
              <w:bidi w:val="0"/>
              <w:spacing w:before="0" w:after="283"/>
              <w:jc w:val="left"/>
              <w:rPr/>
            </w:pPr>
            <w:r>
              <w:rPr/>
              <w:t> </w:t>
            </w:r>
            <w:bookmarkStart w:id="158" w:name="xdx_401_eus-gaap--RepaymentsOfNotesPayab"/>
            <w:bookmarkEnd w:id="158"/>
          </w:p>
        </w:tc>
      </w:tr>
      <w:tr>
        <w:trPr/>
        <w:tc>
          <w:tcPr>
            <w:tcW w:w="6544" w:type="dxa"/>
            <w:tcBorders/>
            <w:shd w:fill="FFFFFF" w:val="clear"/>
            <w:vAlign w:val="center"/>
          </w:tcPr>
          <w:p>
            <w:pPr>
              <w:pStyle w:val="TableContents"/>
              <w:bidi w:val="0"/>
              <w:spacing w:before="0" w:after="283"/>
              <w:jc w:val="left"/>
              <w:rPr/>
            </w:pPr>
            <w:r>
              <w:rPr/>
              <w:t>Payments on notes payable</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(177,558</w:t>
            </w:r>
          </w:p>
        </w:tc>
        <w:tc>
          <w:tcPr>
            <w:tcW w:w="129"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(243,572</w:t>
            </w:r>
          </w:p>
        </w:tc>
        <w:tc>
          <w:tcPr>
            <w:tcW w:w="146" w:type="dxa"/>
            <w:tcBorders/>
            <w:shd w:fill="FFFFFF" w:val="clear"/>
            <w:vAlign w:val="center"/>
          </w:tcPr>
          <w:p>
            <w:pPr>
              <w:pStyle w:val="TableContents"/>
              <w:bidi w:val="0"/>
              <w:spacing w:before="0" w:after="283"/>
              <w:jc w:val="left"/>
              <w:rPr/>
            </w:pPr>
            <w:r>
              <w:rPr/>
              <w:t>)</w:t>
            </w:r>
            <w:bookmarkStart w:id="159" w:name="xdx_406_eus-gaap--ProceedsFromWarrantExe"/>
            <w:bookmarkEnd w:id="159"/>
          </w:p>
        </w:tc>
      </w:tr>
      <w:tr>
        <w:trPr/>
        <w:tc>
          <w:tcPr>
            <w:tcW w:w="6544" w:type="dxa"/>
            <w:tcBorders/>
            <w:shd w:fill="EEEEEE" w:val="clear"/>
            <w:vAlign w:val="center"/>
          </w:tcPr>
          <w:p>
            <w:pPr>
              <w:pStyle w:val="TableContents"/>
              <w:bidi w:val="0"/>
              <w:spacing w:before="0" w:after="283"/>
              <w:jc w:val="left"/>
              <w:rPr/>
            </w:pPr>
            <w:r>
              <w:rPr/>
              <w:t>Proceeds from exercise of warrants</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21,326</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725,668</w:t>
            </w:r>
          </w:p>
        </w:tc>
        <w:tc>
          <w:tcPr>
            <w:tcW w:w="146" w:type="dxa"/>
            <w:tcBorders/>
            <w:shd w:fill="EEEEEE" w:val="clear"/>
            <w:vAlign w:val="center"/>
          </w:tcPr>
          <w:p>
            <w:pPr>
              <w:pStyle w:val="TableContents"/>
              <w:bidi w:val="0"/>
              <w:spacing w:before="0" w:after="283"/>
              <w:jc w:val="left"/>
              <w:rPr/>
            </w:pPr>
            <w:r>
              <w:rPr/>
              <w:t> </w:t>
            </w:r>
            <w:bookmarkStart w:id="160" w:name="xdx_40B_eus-gaap--ProceedsFromIssuanceOf"/>
            <w:bookmarkEnd w:id="160"/>
          </w:p>
        </w:tc>
      </w:tr>
      <w:tr>
        <w:trPr/>
        <w:tc>
          <w:tcPr>
            <w:tcW w:w="6544" w:type="dxa"/>
            <w:tcBorders/>
            <w:shd w:fill="FFFFFF" w:val="clear"/>
            <w:vAlign w:val="center"/>
          </w:tcPr>
          <w:p>
            <w:pPr>
              <w:pStyle w:val="TableContents"/>
              <w:bidi w:val="0"/>
              <w:spacing w:before="0" w:after="283"/>
              <w:jc w:val="left"/>
              <w:rPr/>
            </w:pPr>
            <w:r>
              <w:rPr/>
              <w:t>Proceeds from sale of common stock and warrants, net</w:t>
            </w:r>
          </w:p>
        </w:tc>
        <w:tc>
          <w:tcPr>
            <w:tcW w:w="60" w:type="dxa"/>
            <w:tcBorders/>
            <w:shd w:fill="FFFFFF" w:val="clear"/>
            <w:vAlign w:val="center"/>
          </w:tcPr>
          <w:p>
            <w:pPr>
              <w:pStyle w:val="TableContents"/>
              <w:bidi w:val="0"/>
              <w:spacing w:before="0" w:after="283"/>
              <w:jc w:val="left"/>
              <w:rPr/>
            </w:pPr>
            <w:r>
              <w:rPr/>
              <w:t> </w:t>
            </w:r>
          </w:p>
        </w:tc>
        <w:tc>
          <w:tcPr>
            <w:tcW w:w="19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41" w:type="dxa"/>
            <w:tcBorders>
              <w:bottom w:val="single" w:sz="8" w:space="0" w:color="000000"/>
            </w:tcBorders>
            <w:shd w:fill="FFFFFF" w:val="clear"/>
            <w:tcMar>
              <w:bottom w:w="28" w:type="dxa"/>
            </w:tcMar>
            <w:vAlign w:val="center"/>
          </w:tcPr>
          <w:p>
            <w:pPr>
              <w:pStyle w:val="TableContents"/>
              <w:bidi w:val="0"/>
              <w:spacing w:before="0" w:after="283"/>
              <w:jc w:val="right"/>
              <w:rPr/>
            </w:pPr>
            <w:r>
              <w:rPr/>
              <w:t>5,958,270</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50" w:type="dxa"/>
            <w:tcBorders>
              <w:bottom w:val="single" w:sz="8" w:space="0" w:color="000000"/>
            </w:tcBorders>
            <w:shd w:fill="FFFFFF" w:val="clear"/>
            <w:tcMar>
              <w:bottom w:w="28" w:type="dxa"/>
            </w:tcMar>
            <w:vAlign w:val="center"/>
          </w:tcPr>
          <w:p>
            <w:pPr>
              <w:pStyle w:val="TableContents"/>
              <w:bidi w:val="0"/>
              <w:spacing w:before="0" w:after="283"/>
              <w:jc w:val="right"/>
              <w:rPr/>
            </w:pPr>
            <w:r>
              <w:rPr/>
              <w:t>1,969,107</w:t>
            </w:r>
          </w:p>
        </w:tc>
        <w:tc>
          <w:tcPr>
            <w:tcW w:w="146" w:type="dxa"/>
            <w:tcBorders/>
            <w:shd w:fill="FFFFFF" w:val="clear"/>
            <w:vAlign w:val="center"/>
          </w:tcPr>
          <w:p>
            <w:pPr>
              <w:pStyle w:val="TableContents"/>
              <w:bidi w:val="0"/>
              <w:spacing w:before="0" w:after="283"/>
              <w:jc w:val="left"/>
              <w:rPr/>
            </w:pPr>
            <w:r>
              <w:rPr/>
              <w:t> </w:t>
            </w:r>
            <w:bookmarkStart w:id="161" w:name="xdx_404_eus-gaap--NetCashProvidedByUsedI"/>
            <w:bookmarkEnd w:id="161"/>
          </w:p>
        </w:tc>
      </w:tr>
      <w:tr>
        <w:trPr/>
        <w:tc>
          <w:tcPr>
            <w:tcW w:w="6544" w:type="dxa"/>
            <w:tcBorders/>
            <w:shd w:fill="EEEEEE" w:val="clear"/>
            <w:vAlign w:val="center"/>
          </w:tcPr>
          <w:p>
            <w:pPr>
              <w:pStyle w:val="TableContents"/>
              <w:bidi w:val="0"/>
              <w:spacing w:before="0" w:after="283"/>
              <w:jc w:val="left"/>
              <w:rPr/>
            </w:pPr>
            <w:r>
              <w:rPr/>
              <w:t>Net cash provided by financing activities</w:t>
            </w:r>
          </w:p>
        </w:tc>
        <w:tc>
          <w:tcPr>
            <w:tcW w:w="60" w:type="dxa"/>
            <w:tcBorders/>
            <w:shd w:fill="EEEEEE" w:val="clear"/>
            <w:vAlign w:val="center"/>
          </w:tcPr>
          <w:p>
            <w:pPr>
              <w:pStyle w:val="TableContents"/>
              <w:bidi w:val="0"/>
              <w:spacing w:before="0" w:after="283"/>
              <w:jc w:val="left"/>
              <w:rPr/>
            </w:pPr>
            <w:r>
              <w:rPr/>
              <w:t> </w:t>
            </w:r>
          </w:p>
        </w:tc>
        <w:tc>
          <w:tcPr>
            <w:tcW w:w="19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41" w:type="dxa"/>
            <w:tcBorders>
              <w:bottom w:val="single" w:sz="8" w:space="0" w:color="000000"/>
            </w:tcBorders>
            <w:shd w:fill="EEEEEE" w:val="clear"/>
            <w:tcMar>
              <w:bottom w:w="28" w:type="dxa"/>
            </w:tcMar>
            <w:vAlign w:val="center"/>
          </w:tcPr>
          <w:p>
            <w:pPr>
              <w:pStyle w:val="TableContents"/>
              <w:bidi w:val="0"/>
              <w:spacing w:before="0" w:after="283"/>
              <w:jc w:val="right"/>
              <w:rPr/>
            </w:pPr>
            <w:r>
              <w:rPr/>
              <w:t>5,785,288</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50" w:type="dxa"/>
            <w:tcBorders>
              <w:bottom w:val="single" w:sz="8" w:space="0" w:color="000000"/>
            </w:tcBorders>
            <w:shd w:fill="EEEEEE" w:val="clear"/>
            <w:tcMar>
              <w:bottom w:w="28" w:type="dxa"/>
            </w:tcMar>
            <w:vAlign w:val="center"/>
          </w:tcPr>
          <w:p>
            <w:pPr>
              <w:pStyle w:val="TableContents"/>
              <w:bidi w:val="0"/>
              <w:spacing w:before="0" w:after="283"/>
              <w:jc w:val="right"/>
              <w:rPr/>
            </w:pPr>
            <w:r>
              <w:rPr/>
              <w:t>2,451,203</w:t>
            </w:r>
          </w:p>
        </w:tc>
        <w:tc>
          <w:tcPr>
            <w:tcW w:w="146" w:type="dxa"/>
            <w:tcBorders/>
            <w:shd w:fill="EEEEEE" w:val="clear"/>
            <w:vAlign w:val="center"/>
          </w:tcPr>
          <w:p>
            <w:pPr>
              <w:pStyle w:val="TableContents"/>
              <w:bidi w:val="0"/>
              <w:spacing w:before="0" w:after="283"/>
              <w:jc w:val="left"/>
              <w:rPr/>
            </w:pPr>
            <w:r>
              <w:rPr/>
              <w:t> </w:t>
            </w:r>
          </w:p>
        </w:tc>
      </w:tr>
      <w:tr>
        <w:trPr/>
        <w:tc>
          <w:tcPr>
            <w:tcW w:w="6544"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 </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 </w:t>
            </w:r>
          </w:p>
        </w:tc>
        <w:tc>
          <w:tcPr>
            <w:tcW w:w="146" w:type="dxa"/>
            <w:tcBorders/>
            <w:shd w:fill="FFFFFF" w:val="clear"/>
            <w:vAlign w:val="center"/>
          </w:tcPr>
          <w:p>
            <w:pPr>
              <w:pStyle w:val="TableContents"/>
              <w:bidi w:val="0"/>
              <w:spacing w:before="0" w:after="283"/>
              <w:jc w:val="left"/>
              <w:rPr/>
            </w:pPr>
            <w:r>
              <w:rPr/>
              <w:t> </w:t>
            </w:r>
            <w:bookmarkStart w:id="162" w:name="xdx_40D_eus-gaap--CashCashEquivalentsRes"/>
            <w:bookmarkEnd w:id="162"/>
          </w:p>
        </w:tc>
      </w:tr>
      <w:tr>
        <w:trPr/>
        <w:tc>
          <w:tcPr>
            <w:tcW w:w="6544" w:type="dxa"/>
            <w:tcBorders/>
            <w:shd w:fill="EEEEEE" w:val="clear"/>
            <w:vAlign w:val="center"/>
          </w:tcPr>
          <w:p>
            <w:pPr>
              <w:pStyle w:val="TableContents"/>
              <w:bidi w:val="0"/>
              <w:spacing w:before="0" w:after="283"/>
              <w:jc w:val="left"/>
              <w:rPr/>
            </w:pPr>
            <w:r>
              <w:rPr/>
              <w:t>Net change in cash and cash equivalents</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942,838</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(5,776,156</w:t>
            </w:r>
          </w:p>
        </w:tc>
        <w:tc>
          <w:tcPr>
            <w:tcW w:w="146" w:type="dxa"/>
            <w:tcBorders/>
            <w:shd w:fill="EEEEEE" w:val="clear"/>
            <w:vAlign w:val="center"/>
          </w:tcPr>
          <w:p>
            <w:pPr>
              <w:pStyle w:val="TableContents"/>
              <w:bidi w:val="0"/>
              <w:spacing w:before="0" w:after="283"/>
              <w:jc w:val="left"/>
              <w:rPr/>
            </w:pPr>
            <w:r>
              <w:rPr/>
              <w:t>)</w:t>
            </w:r>
          </w:p>
        </w:tc>
      </w:tr>
      <w:tr>
        <w:trPr/>
        <w:tc>
          <w:tcPr>
            <w:tcW w:w="6544"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 </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 </w:t>
            </w:r>
          </w:p>
        </w:tc>
        <w:tc>
          <w:tcPr>
            <w:tcW w:w="146" w:type="dxa"/>
            <w:tcBorders/>
            <w:shd w:fill="FFFFFF" w:val="clear"/>
            <w:vAlign w:val="center"/>
          </w:tcPr>
          <w:p>
            <w:pPr>
              <w:pStyle w:val="TableContents"/>
              <w:bidi w:val="0"/>
              <w:spacing w:before="0" w:after="283"/>
              <w:jc w:val="left"/>
              <w:rPr/>
            </w:pPr>
            <w:r>
              <w:rPr/>
              <w:t> </w:t>
            </w:r>
            <w:bookmarkStart w:id="163" w:name="xdx_407_eus-gaap--CashCashEquivalentsRes"/>
            <w:bookmarkEnd w:id="163"/>
          </w:p>
        </w:tc>
      </w:tr>
      <w:tr>
        <w:trPr/>
        <w:tc>
          <w:tcPr>
            <w:tcW w:w="6544" w:type="dxa"/>
            <w:tcBorders/>
            <w:shd w:fill="EEEEEE" w:val="clear"/>
            <w:vAlign w:val="center"/>
          </w:tcPr>
          <w:p>
            <w:pPr>
              <w:pStyle w:val="TableContents"/>
              <w:bidi w:val="0"/>
              <w:spacing w:before="0" w:after="283"/>
              <w:jc w:val="left"/>
              <w:rPr/>
            </w:pPr>
            <w:r>
              <w:rPr/>
              <w:t>Cash and cash equivalents, at beginning of period</w:t>
            </w:r>
          </w:p>
        </w:tc>
        <w:tc>
          <w:tcPr>
            <w:tcW w:w="60" w:type="dxa"/>
            <w:tcBorders/>
            <w:shd w:fill="EEEEEE" w:val="clear"/>
            <w:vAlign w:val="center"/>
          </w:tcPr>
          <w:p>
            <w:pPr>
              <w:pStyle w:val="TableContents"/>
              <w:bidi w:val="0"/>
              <w:spacing w:before="0" w:after="283"/>
              <w:jc w:val="left"/>
              <w:rPr/>
            </w:pPr>
            <w:r>
              <w:rPr/>
              <w:t> </w:t>
            </w:r>
          </w:p>
        </w:tc>
        <w:tc>
          <w:tcPr>
            <w:tcW w:w="19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41" w:type="dxa"/>
            <w:tcBorders>
              <w:bottom w:val="single" w:sz="8" w:space="0" w:color="000000"/>
            </w:tcBorders>
            <w:shd w:fill="EEEEEE" w:val="clear"/>
            <w:tcMar>
              <w:bottom w:w="28" w:type="dxa"/>
            </w:tcMar>
            <w:vAlign w:val="center"/>
          </w:tcPr>
          <w:p>
            <w:pPr>
              <w:pStyle w:val="TableContents"/>
              <w:bidi w:val="0"/>
              <w:spacing w:before="0" w:after="283"/>
              <w:jc w:val="right"/>
              <w:rPr/>
            </w:pPr>
            <w:r>
              <w:rPr/>
              <w:t>548,721</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50" w:type="dxa"/>
            <w:tcBorders>
              <w:bottom w:val="single" w:sz="8" w:space="0" w:color="000000"/>
            </w:tcBorders>
            <w:shd w:fill="EEEEEE" w:val="clear"/>
            <w:tcMar>
              <w:bottom w:w="28" w:type="dxa"/>
            </w:tcMar>
            <w:vAlign w:val="center"/>
          </w:tcPr>
          <w:p>
            <w:pPr>
              <w:pStyle w:val="TableContents"/>
              <w:bidi w:val="0"/>
              <w:spacing w:before="0" w:after="283"/>
              <w:jc w:val="right"/>
              <w:rPr/>
            </w:pPr>
            <w:r>
              <w:rPr/>
              <w:t>10,055,407</w:t>
            </w:r>
          </w:p>
        </w:tc>
        <w:tc>
          <w:tcPr>
            <w:tcW w:w="146" w:type="dxa"/>
            <w:tcBorders/>
            <w:shd w:fill="EEEEEE" w:val="clear"/>
            <w:vAlign w:val="center"/>
          </w:tcPr>
          <w:p>
            <w:pPr>
              <w:pStyle w:val="TableContents"/>
              <w:bidi w:val="0"/>
              <w:spacing w:before="0" w:after="283"/>
              <w:jc w:val="left"/>
              <w:rPr/>
            </w:pPr>
            <w:r>
              <w:rPr/>
              <w:t> </w:t>
            </w:r>
          </w:p>
        </w:tc>
      </w:tr>
      <w:tr>
        <w:trPr/>
        <w:tc>
          <w:tcPr>
            <w:tcW w:w="6544"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 </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 </w:t>
            </w:r>
          </w:p>
        </w:tc>
        <w:tc>
          <w:tcPr>
            <w:tcW w:w="146" w:type="dxa"/>
            <w:tcBorders/>
            <w:shd w:fill="FFFFFF" w:val="clear"/>
            <w:vAlign w:val="center"/>
          </w:tcPr>
          <w:p>
            <w:pPr>
              <w:pStyle w:val="TableContents"/>
              <w:bidi w:val="0"/>
              <w:spacing w:before="0" w:after="283"/>
              <w:jc w:val="left"/>
              <w:rPr/>
            </w:pPr>
            <w:r>
              <w:rPr/>
              <w:t> </w:t>
            </w:r>
            <w:bookmarkStart w:id="164" w:name="xdx_40C_eus-gaap--CashCashEquivalentsRes"/>
            <w:bookmarkEnd w:id="164"/>
          </w:p>
        </w:tc>
      </w:tr>
      <w:tr>
        <w:trPr/>
        <w:tc>
          <w:tcPr>
            <w:tcW w:w="6544" w:type="dxa"/>
            <w:tcBorders/>
            <w:shd w:fill="EEEEEE" w:val="clear"/>
            <w:vAlign w:val="center"/>
          </w:tcPr>
          <w:p>
            <w:pPr>
              <w:pStyle w:val="TableContents"/>
              <w:bidi w:val="0"/>
              <w:spacing w:before="0" w:after="283"/>
              <w:jc w:val="left"/>
              <w:rPr/>
            </w:pPr>
            <w:r>
              <w:rPr/>
              <w:t>Cash and cash equivalents, at end of period</w:t>
            </w:r>
          </w:p>
        </w:tc>
        <w:tc>
          <w:tcPr>
            <w:tcW w:w="60" w:type="dxa"/>
            <w:tcBorders/>
            <w:shd w:fill="EEEEEE" w:val="clear"/>
            <w:vAlign w:val="center"/>
          </w:tcPr>
          <w:p>
            <w:pPr>
              <w:pStyle w:val="TableContents"/>
              <w:bidi w:val="0"/>
              <w:spacing w:before="0" w:after="283"/>
              <w:jc w:val="left"/>
              <w:rPr/>
            </w:pPr>
            <w:r>
              <w:rPr/>
              <w:t> </w:t>
            </w:r>
          </w:p>
        </w:tc>
        <w:tc>
          <w:tcPr>
            <w:tcW w:w="191"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41" w:type="dxa"/>
            <w:tcBorders>
              <w:bottom w:val="double" w:sz="6" w:space="0" w:color="000000"/>
            </w:tcBorders>
            <w:shd w:fill="EEEEEE" w:val="clear"/>
            <w:tcMar>
              <w:bottom w:w="28" w:type="dxa"/>
            </w:tcMar>
            <w:vAlign w:val="center"/>
          </w:tcPr>
          <w:p>
            <w:pPr>
              <w:pStyle w:val="TableContents"/>
              <w:bidi w:val="0"/>
              <w:spacing w:before="0" w:after="283"/>
              <w:jc w:val="right"/>
              <w:rPr/>
            </w:pPr>
            <w:r>
              <w:rPr/>
              <w:t>1,491,559</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50" w:type="dxa"/>
            <w:tcBorders>
              <w:bottom w:val="double" w:sz="6" w:space="0" w:color="000000"/>
            </w:tcBorders>
            <w:shd w:fill="EEEEEE" w:val="clear"/>
            <w:tcMar>
              <w:bottom w:w="28" w:type="dxa"/>
            </w:tcMar>
            <w:vAlign w:val="center"/>
          </w:tcPr>
          <w:p>
            <w:pPr>
              <w:pStyle w:val="TableContents"/>
              <w:bidi w:val="0"/>
              <w:spacing w:before="0" w:after="283"/>
              <w:jc w:val="right"/>
              <w:rPr/>
            </w:pPr>
            <w:r>
              <w:rPr/>
              <w:t>4,279,251</w:t>
            </w:r>
          </w:p>
        </w:tc>
        <w:tc>
          <w:tcPr>
            <w:tcW w:w="146" w:type="dxa"/>
            <w:tcBorders/>
            <w:shd w:fill="EEEEEE" w:val="clear"/>
            <w:vAlign w:val="center"/>
          </w:tcPr>
          <w:p>
            <w:pPr>
              <w:pStyle w:val="TableContents"/>
              <w:bidi w:val="0"/>
              <w:spacing w:before="0" w:after="283"/>
              <w:jc w:val="left"/>
              <w:rPr/>
            </w:pPr>
            <w:r>
              <w:rPr/>
              <w:t> </w:t>
            </w:r>
          </w:p>
        </w:tc>
      </w:tr>
      <w:tr>
        <w:trPr/>
        <w:tc>
          <w:tcPr>
            <w:tcW w:w="6544"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 </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 </w:t>
            </w:r>
          </w:p>
        </w:tc>
        <w:tc>
          <w:tcPr>
            <w:tcW w:w="146" w:type="dxa"/>
            <w:tcBorders/>
            <w:shd w:fill="FFFFFF" w:val="clear"/>
            <w:vAlign w:val="center"/>
          </w:tcPr>
          <w:p>
            <w:pPr>
              <w:pStyle w:val="TableContents"/>
              <w:bidi w:val="0"/>
              <w:spacing w:before="0" w:after="283"/>
              <w:jc w:val="left"/>
              <w:rPr/>
            </w:pPr>
            <w:r>
              <w:rPr/>
              <w:t> </w:t>
            </w:r>
            <w:bookmarkStart w:id="165" w:name="xdx_402_eus-gaap--SupplementalCashFlowIn"/>
            <w:bookmarkEnd w:id="165"/>
          </w:p>
        </w:tc>
      </w:tr>
      <w:tr>
        <w:trPr/>
        <w:tc>
          <w:tcPr>
            <w:tcW w:w="6544" w:type="dxa"/>
            <w:tcBorders/>
            <w:shd w:fill="EEEEEE" w:val="clear"/>
            <w:vAlign w:val="center"/>
          </w:tcPr>
          <w:p>
            <w:pPr>
              <w:pStyle w:val="TableContents"/>
              <w:bidi w:val="0"/>
              <w:spacing w:before="0" w:after="283"/>
              <w:jc w:val="left"/>
              <w:rPr/>
            </w:pPr>
            <w:r>
              <w:rPr/>
              <w:t>Supplemental disclosures of cash flow information:</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 </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 </w:t>
            </w:r>
          </w:p>
        </w:tc>
        <w:tc>
          <w:tcPr>
            <w:tcW w:w="146" w:type="dxa"/>
            <w:tcBorders/>
            <w:shd w:fill="EEEEEE" w:val="clear"/>
            <w:vAlign w:val="center"/>
          </w:tcPr>
          <w:p>
            <w:pPr>
              <w:pStyle w:val="TableContents"/>
              <w:bidi w:val="0"/>
              <w:spacing w:before="0" w:after="283"/>
              <w:jc w:val="left"/>
              <w:rPr/>
            </w:pPr>
            <w:r>
              <w:rPr/>
              <w:t> </w:t>
            </w:r>
            <w:bookmarkStart w:id="166" w:name="xdx_404_eus-gaap--InterestPaidNet_i01_zn"/>
            <w:bookmarkEnd w:id="166"/>
          </w:p>
        </w:tc>
      </w:tr>
      <w:tr>
        <w:trPr/>
        <w:tc>
          <w:tcPr>
            <w:tcW w:w="6544" w:type="dxa"/>
            <w:tcBorders/>
            <w:shd w:fill="FFFFFF" w:val="clear"/>
            <w:vAlign w:val="center"/>
          </w:tcPr>
          <w:p>
            <w:pPr>
              <w:pStyle w:val="TableContents"/>
              <w:bidi w:val="0"/>
              <w:spacing w:before="0" w:after="283"/>
              <w:jc w:val="left"/>
              <w:rPr/>
            </w:pPr>
            <w:r>
              <w:rPr/>
              <w:t>Cash paid for interest</w:t>
            </w:r>
          </w:p>
        </w:tc>
        <w:tc>
          <w:tcPr>
            <w:tcW w:w="60" w:type="dxa"/>
            <w:tcBorders/>
            <w:shd w:fill="FFFFFF" w:val="clear"/>
            <w:vAlign w:val="center"/>
          </w:tcPr>
          <w:p>
            <w:pPr>
              <w:pStyle w:val="TableContents"/>
              <w:bidi w:val="0"/>
              <w:spacing w:before="0" w:after="283"/>
              <w:jc w:val="left"/>
              <w:rPr/>
            </w:pPr>
            <w:r>
              <w:rPr/>
              <w:t> </w:t>
            </w:r>
          </w:p>
        </w:tc>
        <w:tc>
          <w:tcPr>
            <w:tcW w:w="191"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441" w:type="dxa"/>
            <w:tcBorders>
              <w:bottom w:val="double" w:sz="6" w:space="0" w:color="000000"/>
            </w:tcBorders>
            <w:shd w:fill="FFFFFF" w:val="clear"/>
            <w:tcMar>
              <w:bottom w:w="28" w:type="dxa"/>
            </w:tcMar>
            <w:vAlign w:val="center"/>
          </w:tcPr>
          <w:p>
            <w:pPr>
              <w:pStyle w:val="TableContents"/>
              <w:bidi w:val="0"/>
              <w:spacing w:before="0" w:after="283"/>
              <w:jc w:val="right"/>
              <w:rPr/>
            </w:pPr>
            <w:r>
              <w:rPr/>
              <w:t>11,088</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450" w:type="dxa"/>
            <w:tcBorders>
              <w:bottom w:val="double" w:sz="6" w:space="0" w:color="000000"/>
            </w:tcBorders>
            <w:shd w:fill="FFFFFF" w:val="clear"/>
            <w:tcMar>
              <w:bottom w:w="28" w:type="dxa"/>
            </w:tcMar>
            <w:vAlign w:val="center"/>
          </w:tcPr>
          <w:p>
            <w:pPr>
              <w:pStyle w:val="TableContents"/>
              <w:bidi w:val="0"/>
              <w:spacing w:before="0" w:after="283"/>
              <w:jc w:val="right"/>
              <w:rPr/>
            </w:pPr>
            <w:r>
              <w:rPr/>
              <w:t>9,086</w:t>
            </w:r>
          </w:p>
        </w:tc>
        <w:tc>
          <w:tcPr>
            <w:tcW w:w="146" w:type="dxa"/>
            <w:tcBorders/>
            <w:shd w:fill="FFFFFF" w:val="clear"/>
            <w:vAlign w:val="center"/>
          </w:tcPr>
          <w:p>
            <w:pPr>
              <w:pStyle w:val="TableContents"/>
              <w:bidi w:val="0"/>
              <w:spacing w:before="0" w:after="283"/>
              <w:jc w:val="left"/>
              <w:rPr/>
            </w:pPr>
            <w:r>
              <w:rPr/>
              <w:t> </w:t>
            </w:r>
            <w:bookmarkStart w:id="167" w:name="xdx_406_eus-gaap--IncomeTaxesPaid_i01_d0"/>
            <w:bookmarkEnd w:id="167"/>
          </w:p>
        </w:tc>
      </w:tr>
      <w:tr>
        <w:trPr/>
        <w:tc>
          <w:tcPr>
            <w:tcW w:w="6544" w:type="dxa"/>
            <w:tcBorders/>
            <w:shd w:fill="EEEEEE" w:val="clear"/>
            <w:vAlign w:val="center"/>
          </w:tcPr>
          <w:p>
            <w:pPr>
              <w:pStyle w:val="TableContents"/>
              <w:bidi w:val="0"/>
              <w:spacing w:before="0" w:after="283"/>
              <w:jc w:val="left"/>
              <w:rPr/>
            </w:pPr>
            <w:r>
              <w:rPr/>
              <w:t>Cash paid for income taxes</w:t>
            </w:r>
          </w:p>
        </w:tc>
        <w:tc>
          <w:tcPr>
            <w:tcW w:w="60" w:type="dxa"/>
            <w:tcBorders/>
            <w:shd w:fill="EEEEEE" w:val="clear"/>
            <w:vAlign w:val="center"/>
          </w:tcPr>
          <w:p>
            <w:pPr>
              <w:pStyle w:val="TableContents"/>
              <w:bidi w:val="0"/>
              <w:spacing w:before="0" w:after="283"/>
              <w:jc w:val="left"/>
              <w:rPr/>
            </w:pPr>
            <w:r>
              <w:rPr/>
              <w:t> </w:t>
            </w:r>
          </w:p>
        </w:tc>
        <w:tc>
          <w:tcPr>
            <w:tcW w:w="191"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41"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50"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146" w:type="dxa"/>
            <w:tcBorders/>
            <w:shd w:fill="EEEEEE" w:val="clear"/>
            <w:vAlign w:val="center"/>
          </w:tcPr>
          <w:p>
            <w:pPr>
              <w:pStyle w:val="TableContents"/>
              <w:bidi w:val="0"/>
              <w:spacing w:before="0" w:after="283"/>
              <w:jc w:val="left"/>
              <w:rPr/>
            </w:pPr>
            <w:r>
              <w:rPr/>
              <w:t> </w:t>
            </w:r>
          </w:p>
        </w:tc>
      </w:tr>
      <w:tr>
        <w:trPr/>
        <w:tc>
          <w:tcPr>
            <w:tcW w:w="6544"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91" w:type="dxa"/>
            <w:tcBorders/>
            <w:shd w:fill="FFFFFF" w:val="clear"/>
            <w:vAlign w:val="center"/>
          </w:tcPr>
          <w:p>
            <w:pPr>
              <w:pStyle w:val="TableContents"/>
              <w:bidi w:val="0"/>
              <w:spacing w:before="0" w:after="283"/>
              <w:jc w:val="left"/>
              <w:rPr/>
            </w:pPr>
            <w:r>
              <w:rPr/>
              <w:t> </w:t>
            </w:r>
          </w:p>
        </w:tc>
        <w:tc>
          <w:tcPr>
            <w:tcW w:w="1441" w:type="dxa"/>
            <w:tcBorders/>
            <w:shd w:fill="FFFFFF" w:val="clear"/>
            <w:vAlign w:val="center"/>
          </w:tcPr>
          <w:p>
            <w:pPr>
              <w:pStyle w:val="TableContents"/>
              <w:bidi w:val="0"/>
              <w:spacing w:before="0" w:after="283"/>
              <w:jc w:val="right"/>
              <w:rPr/>
            </w:pPr>
            <w:r>
              <w:rPr/>
              <w:t> </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 </w:t>
            </w:r>
          </w:p>
        </w:tc>
        <w:tc>
          <w:tcPr>
            <w:tcW w:w="146" w:type="dxa"/>
            <w:tcBorders/>
            <w:shd w:fill="FFFFFF" w:val="clear"/>
            <w:vAlign w:val="center"/>
          </w:tcPr>
          <w:p>
            <w:pPr>
              <w:pStyle w:val="TableContents"/>
              <w:bidi w:val="0"/>
              <w:spacing w:before="0" w:after="283"/>
              <w:jc w:val="left"/>
              <w:rPr/>
            </w:pPr>
            <w:r>
              <w:rPr/>
              <w:t> </w:t>
            </w:r>
            <w:bookmarkStart w:id="168" w:name="xdx_409_eus-gaap--NoncashInvestingAndFin"/>
            <w:bookmarkEnd w:id="168"/>
          </w:p>
        </w:tc>
      </w:tr>
      <w:tr>
        <w:trPr/>
        <w:tc>
          <w:tcPr>
            <w:tcW w:w="6544" w:type="dxa"/>
            <w:tcBorders/>
            <w:shd w:fill="EEEEEE" w:val="clear"/>
            <w:vAlign w:val="center"/>
          </w:tcPr>
          <w:p>
            <w:pPr>
              <w:pStyle w:val="TableContents"/>
              <w:bidi w:val="0"/>
              <w:spacing w:before="0" w:after="283"/>
              <w:jc w:val="left"/>
              <w:rPr/>
            </w:pPr>
            <w:r>
              <w:rPr/>
              <w:t>Supplemental disclosure of non-cash investing and financing activities:</w:t>
            </w:r>
          </w:p>
        </w:tc>
        <w:tc>
          <w:tcPr>
            <w:tcW w:w="60" w:type="dxa"/>
            <w:tcBorders/>
            <w:shd w:fill="EEEEEE" w:val="clear"/>
            <w:vAlign w:val="center"/>
          </w:tcPr>
          <w:p>
            <w:pPr>
              <w:pStyle w:val="TableContents"/>
              <w:bidi w:val="0"/>
              <w:spacing w:before="0" w:after="283"/>
              <w:jc w:val="left"/>
              <w:rPr/>
            </w:pPr>
            <w:r>
              <w:rPr/>
              <w:t> </w:t>
            </w:r>
          </w:p>
        </w:tc>
        <w:tc>
          <w:tcPr>
            <w:tcW w:w="191" w:type="dxa"/>
            <w:tcBorders/>
            <w:shd w:fill="EEEEEE" w:val="clear"/>
            <w:vAlign w:val="center"/>
          </w:tcPr>
          <w:p>
            <w:pPr>
              <w:pStyle w:val="TableContents"/>
              <w:bidi w:val="0"/>
              <w:spacing w:before="0" w:after="283"/>
              <w:jc w:val="left"/>
              <w:rPr/>
            </w:pPr>
            <w:r>
              <w:rPr/>
              <w:t> </w:t>
            </w:r>
          </w:p>
        </w:tc>
        <w:tc>
          <w:tcPr>
            <w:tcW w:w="1441" w:type="dxa"/>
            <w:tcBorders/>
            <w:shd w:fill="EEEEEE" w:val="clear"/>
            <w:vAlign w:val="center"/>
          </w:tcPr>
          <w:p>
            <w:pPr>
              <w:pStyle w:val="TableContents"/>
              <w:bidi w:val="0"/>
              <w:spacing w:before="0" w:after="283"/>
              <w:jc w:val="right"/>
              <w:rPr/>
            </w:pPr>
            <w:r>
              <w:rPr/>
              <w:t> </w:t>
            </w:r>
          </w:p>
        </w:tc>
        <w:tc>
          <w:tcPr>
            <w:tcW w:w="129"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84"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 </w:t>
            </w:r>
          </w:p>
        </w:tc>
        <w:tc>
          <w:tcPr>
            <w:tcW w:w="146" w:type="dxa"/>
            <w:tcBorders/>
            <w:shd w:fill="EEEEEE" w:val="clear"/>
            <w:vAlign w:val="center"/>
          </w:tcPr>
          <w:p>
            <w:pPr>
              <w:pStyle w:val="TableContents"/>
              <w:bidi w:val="0"/>
              <w:spacing w:before="0" w:after="283"/>
              <w:jc w:val="left"/>
              <w:rPr/>
            </w:pPr>
            <w:r>
              <w:rPr/>
              <w:t> </w:t>
            </w:r>
            <w:bookmarkStart w:id="169" w:name="xdx_402_ecustom--ReclassificationOfDefer"/>
            <w:bookmarkEnd w:id="169"/>
          </w:p>
        </w:tc>
      </w:tr>
      <w:tr>
        <w:trPr/>
        <w:tc>
          <w:tcPr>
            <w:tcW w:w="6544" w:type="dxa"/>
            <w:tcBorders/>
            <w:shd w:fill="FFFFFF" w:val="clear"/>
            <w:vAlign w:val="center"/>
          </w:tcPr>
          <w:p>
            <w:pPr>
              <w:pStyle w:val="TableContents"/>
              <w:bidi w:val="0"/>
              <w:spacing w:before="0" w:after="283"/>
              <w:jc w:val="left"/>
              <w:rPr/>
            </w:pPr>
            <w:r>
              <w:rPr/>
              <w:t>Reclassification of deferred offering costs to equity</w:t>
            </w:r>
          </w:p>
        </w:tc>
        <w:tc>
          <w:tcPr>
            <w:tcW w:w="60" w:type="dxa"/>
            <w:tcBorders/>
            <w:shd w:fill="FFFFFF" w:val="clear"/>
            <w:vAlign w:val="center"/>
          </w:tcPr>
          <w:p>
            <w:pPr>
              <w:pStyle w:val="TableContents"/>
              <w:bidi w:val="0"/>
              <w:spacing w:before="0" w:after="283"/>
              <w:jc w:val="left"/>
              <w:rPr/>
            </w:pPr>
            <w:r>
              <w:rPr/>
              <w:t> </w:t>
            </w:r>
          </w:p>
        </w:tc>
        <w:tc>
          <w:tcPr>
            <w:tcW w:w="191"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441" w:type="dxa"/>
            <w:tcBorders>
              <w:bottom w:val="double" w:sz="6" w:space="0" w:color="000000"/>
            </w:tcBorders>
            <w:shd w:fill="FFFFFF" w:val="clear"/>
            <w:tcMar>
              <w:bottom w:w="28" w:type="dxa"/>
            </w:tcMar>
            <w:vAlign w:val="center"/>
          </w:tcPr>
          <w:p>
            <w:pPr>
              <w:pStyle w:val="TableContents"/>
              <w:bidi w:val="0"/>
              <w:spacing w:before="0" w:after="283"/>
              <w:jc w:val="right"/>
              <w:rPr/>
            </w:pPr>
            <w:r>
              <w:rPr/>
              <w:t>202,859</w:t>
            </w:r>
          </w:p>
        </w:tc>
        <w:tc>
          <w:tcPr>
            <w:tcW w:w="129"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84"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450"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146" w:type="dxa"/>
            <w:tcBorders/>
            <w:shd w:fill="FFFFFF" w:val="clear"/>
            <w:vAlign w:val="center"/>
          </w:tcPr>
          <w:p>
            <w:pPr>
              <w:pStyle w:val="TableContents"/>
              <w:bidi w:val="0"/>
              <w:spacing w:before="0" w:after="283"/>
              <w:jc w:val="left"/>
              <w:rPr/>
            </w:pPr>
            <w:r>
              <w:rPr/>
              <w:t> </w:t>
            </w:r>
          </w:p>
        </w:tc>
      </w:tr>
    </w:tbl>
    <w:p>
      <w:pPr>
        <w:pStyle w:val="TextBody"/>
        <w:bidi w:val="0"/>
        <w:spacing w:before="0" w:after="283"/>
        <w:jc w:val="left"/>
        <w:rPr/>
      </w:pPr>
      <w:r>
        <w:rPr/>
        <w:t> </w:t>
      </w:r>
    </w:p>
    <w:p>
      <w:pPr>
        <w:pStyle w:val="TextBody"/>
        <w:bidi w:val="0"/>
        <w:spacing w:before="0" w:after="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unaudited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70" w:name="q2_008"/>
      <w:bookmarkEnd w:id="170"/>
      <w:r>
        <w:rPr>
          <w:rFonts w:ascii="Times New Roman;Times;Serif" w:hAnsi="Times New Roman;Times;Serif"/>
          <w:b/>
          <w:i w:val="false"/>
          <w:caps w:val="false"/>
          <w:smallCaps w:val="false"/>
          <w:sz w:val="20"/>
        </w:rPr>
        <w:t>Notes to the Financial Statements</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171" w:name="xdx_802_eus-gaap--NatureOfOperations_zYh"/>
      <w:bookmarkEnd w:id="171"/>
      <w:r>
        <w:rPr>
          <w:rFonts w:ascii="Times New Roman;Times;Serif" w:hAnsi="Times New Roman;Times;Serif"/>
          <w:b/>
          <w:i w:val="false"/>
          <w:caps w:val="false"/>
          <w:smallCaps w:val="false"/>
          <w:sz w:val="20"/>
        </w:rPr>
        <w:t xml:space="preserve">Note 1 – </w:t>
      </w:r>
      <w:bookmarkStart w:id="172" w:name="xdx_82D_z1Ytfkbf6Kz3"/>
      <w:bookmarkEnd w:id="172"/>
      <w:r>
        <w:rPr>
          <w:rFonts w:ascii="Times New Roman;Times;Serif" w:hAnsi="Times New Roman;Times;Serif"/>
          <w:b/>
          <w:i w:val="false"/>
          <w:caps w:val="false"/>
          <w:smallCaps w:val="false"/>
          <w:sz w:val="20"/>
        </w:rPr>
        <w:t>Nature of Business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 Pharmaceuticals, Inc. (“we”, “our”, the “Company”) is a clinical pharmaceutical company organized as a Nevada corporation on July 27, 2017 to focus on the development of anti-cancer drug candidates.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25, 2022, the stockholders of the Company approved an amendment to the Company’s amended and restated articles of incorporation (the “Amendment”) to effect the reverse stock split at a ratio in the range of 1-for-2 to 1-for-30. The reverse stock split became effective on November 28, 2022 on a </w:t>
      </w:r>
      <w:bookmarkStart w:id="173" w:name="xdx_90D_eus-gaap--StockholdersEquityReve"/>
      <w:bookmarkEnd w:id="173"/>
      <w:r>
        <w:rPr>
          <w:rFonts w:ascii="Times New Roman;Times;Serif" w:hAnsi="Times New Roman;Times;Serif"/>
          <w:b w:val="false"/>
          <w:i w:val="false"/>
          <w:caps w:val="false"/>
          <w:smallCaps w:val="false"/>
          <w:sz w:val="20"/>
        </w:rPr>
        <w:t>1-for-30 basis without any change in the par value per share, which remained at $0.001. The reverse stock split has been retroactively adjusted throughout these financial statements and footnotes.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30, 2024, the stockholders of the Company approved an amendment to the Company’s amended and restated articles of incorporation (the “Amendment”) to effect the reverse stock split at a ratio in the range of 1-for-2 to 1-for-50. The reverse stock split became effective on June 4, 2024 on a </w:t>
      </w:r>
      <w:bookmarkStart w:id="174" w:name="xdx_909_eus-gaap--StockholdersEquityReve"/>
      <w:bookmarkEnd w:id="174"/>
      <w:r>
        <w:rPr>
          <w:rFonts w:ascii="Times New Roman;Times;Serif" w:hAnsi="Times New Roman;Times;Serif"/>
          <w:b w:val="false"/>
          <w:i w:val="false"/>
          <w:caps w:val="false"/>
          <w:smallCaps w:val="false"/>
          <w:sz w:val="20"/>
        </w:rPr>
        <w:t>1-for-50 basis without any change in the par value per share, which remained at $0.001. The reverse stock split has been retroactively adjusted throughout these financial statements and footnotes.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175" w:name="xdx_80B_eus-gaap--SignificantAccountingP"/>
      <w:bookmarkEnd w:id="175"/>
      <w:r>
        <w:rPr>
          <w:rFonts w:ascii="Times New Roman;Times;Serif" w:hAnsi="Times New Roman;Times;Serif"/>
          <w:b/>
          <w:i w:val="false"/>
          <w:caps w:val="false"/>
          <w:smallCaps w:val="false"/>
          <w:sz w:val="20"/>
        </w:rPr>
        <w:t xml:space="preserve">Note 2 – </w:t>
      </w:r>
      <w:bookmarkStart w:id="176" w:name="xdx_827_zGa1tIuLNBtd"/>
      <w:bookmarkEnd w:id="176"/>
      <w:r>
        <w:rPr>
          <w:rFonts w:ascii="Times New Roman;Times;Serif" w:hAnsi="Times New Roman;Times;Serif"/>
          <w:b/>
          <w:i w:val="false"/>
          <w:caps w:val="false"/>
          <w:smallCaps w:val="false"/>
          <w:sz w:val="20"/>
        </w:rPr>
        <w:t>Summary of Significant Accounting Policies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77" w:name="xdx_86C_zkMKEUdRglKf"/>
      <w:bookmarkStart w:id="178" w:name="xdx_845_eus-gaap--BasisOfAccountingPolic"/>
      <w:bookmarkEnd w:id="177"/>
      <w:bookmarkEnd w:id="178"/>
      <w:r>
        <w:rPr>
          <w:rFonts w:ascii="Times New Roman;Times;Serif" w:hAnsi="Times New Roman;Times;Serif"/>
          <w:b/>
          <w:i w:val="false"/>
          <w:caps w:val="false"/>
          <w:smallCaps w:val="false"/>
          <w:sz w:val="20"/>
        </w:rPr>
        <w:t xml:space="preserve">Basis of Presentation </w:t>
      </w:r>
      <w:r>
        <w:rPr>
          <w:rFonts w:ascii="Times New Roman;Times;Serif" w:hAnsi="Times New Roman;Times;Serif"/>
          <w:b w:val="false"/>
          <w:i w:val="false"/>
          <w:caps w:val="false"/>
          <w:smallCaps w:val="false"/>
          <w:sz w:val="20"/>
        </w:rPr>
        <w:t>- The accompanying unaudited financial statements of the Company have been prepared in accordance with accounting principles generally accepted in the United Stated of America (“U.S. GAAP”) for interim unaudited financial information. Accordingly, they do not include all of the information and footnotes required by generally accepted accounting principles for complete financial statements. The unaudited financial statements include all adjustments (consisting of normal recurring adjustments) which are, in the opinion of management, necessary in order to make the condensed financial statements not misleading. Operating results for the three and six months ended June 30, 2024 are not necessarily indicative of the final results that may be expected for the year ending December 31, 2024. For more complete financial information, these unaudited financial statements should be read in conjunction with the audited financial statements for the period ended December 31, 2023 included in our Form 10-K filed with the SEC on April 1, 2024 (“Form 10-K”). Notes to the financial statements which would substantially duplicate the disclosures contained in the audited financial statements for the most recent fiscal period, as reported in the Form 10-K, have been omitted.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79" w:name="xdx_86E_zDPv24vFWNIe"/>
      <w:bookmarkStart w:id="180" w:name="xdx_847_ecustom--LiquidityAndGoingConcer"/>
      <w:bookmarkEnd w:id="179"/>
      <w:bookmarkEnd w:id="180"/>
      <w:r>
        <w:rPr>
          <w:rFonts w:ascii="Times New Roman;Times;Serif" w:hAnsi="Times New Roman;Times;Serif"/>
          <w:b/>
          <w:i w:val="false"/>
          <w:caps w:val="false"/>
          <w:smallCaps w:val="false"/>
          <w:sz w:val="20"/>
        </w:rPr>
        <w:t>Liquidity and Going Concern -</w:t>
      </w:r>
      <w:r>
        <w:rPr>
          <w:rFonts w:ascii="Times New Roman;Times;Serif" w:hAnsi="Times New Roman;Times;Serif"/>
          <w:b w:val="false"/>
          <w:i w:val="false"/>
          <w:caps w:val="false"/>
          <w:smallCaps w:val="false"/>
          <w:sz w:val="20"/>
        </w:rPr>
        <w:t xml:space="preserve"> These financial statements have been prepared on a going concern basis, which assumes the Company will continue to realize its assets and discharge its liabilities in the normal course of business. The continuation of the Company as a going concern is dependent upon the ability of the Company to obtain equity financings to continue operations. The Company has a history of and expects to continue to report negative cash flows from operations and a net loss. Management believes that the cash on hand is sufficient to fund its planned operations into but not beyond the near term. These factors raise substantial doubt regarding the Company’s ability to continue as a going concern. These financial statements do not include any adjustments to the recoverability and classification of recorded asset amounts and classification of liabilities that might be necessary should the Company be unable to continue as a going concern. The Company may seek additional funding through a combination of equity offerings, debt financings, government or other third-party funding, commercialization, marketing and distribution arrangements, other collaborations, strategic alliances and licensing arrangements and delay planned cash outlays or a combination thereof. Management cannot be certain that such events or a combination thereof can be achieved.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181" w:name="xdx_234_z3ik12wtfzWj"/>
      <w:bookmarkEnd w:id="181"/>
      <w:r>
        <w:rPr>
          <w:caps w:val="false"/>
          <w:smallCaps w:val="false"/>
        </w:rPr>
        <w:t> </w:t>
      </w:r>
    </w:p>
    <w:p>
      <w:pPr>
        <w:pStyle w:val="TextBody"/>
        <w:bidi w:val="0"/>
        <w:spacing w:before="0" w:after="0"/>
        <w:ind w:left="0" w:right="0" w:hanging="0"/>
        <w:jc w:val="left"/>
        <w:rPr>
          <w:caps w:val="false"/>
          <w:smallCaps w:val="false"/>
        </w:rPr>
      </w:pPr>
      <w:bookmarkStart w:id="182" w:name="xdx_237_zl9iYkcvVNqj"/>
      <w:bookmarkEnd w:id="182"/>
      <w:r>
        <w:rPr>
          <w:caps w:val="false"/>
          <w:smallCaps w:val="false"/>
        </w:rPr>
        <w:t> </w:t>
      </w:r>
    </w:p>
    <w:p>
      <w:pPr>
        <w:sectPr>
          <w:type w:val="nextPage"/>
          <w:pgSz w:w="11906" w:h="16838"/>
          <w:pgMar w:left="1134" w:right="567" w:gutter="0" w:header="0" w:top="567" w:footer="0" w:bottom="567"/>
          <w:pgNumType w:fmt="decimal"/>
          <w:formProt w:val="false"/>
          <w:textDirection w:val="lrTb"/>
          <w:docGrid w:type="default" w:linePitch="600" w:charSpace="32768"/>
        </w:sectPr>
      </w:pP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7</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183" w:name="xdx_23A_z0JPy1hzR9P1"/>
      <w:bookmarkEnd w:id="183"/>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84" w:name="xdx_86E_zeMzzFZo02E5"/>
      <w:bookmarkStart w:id="185" w:name="xdx_840_eus-gaap--CashAndCashEquivalents"/>
      <w:bookmarkEnd w:id="184"/>
      <w:bookmarkEnd w:id="185"/>
      <w:r>
        <w:rPr>
          <w:rFonts w:ascii="Times New Roman;Times;Serif" w:hAnsi="Times New Roman;Times;Serif"/>
          <w:b/>
          <w:i w:val="false"/>
          <w:caps w:val="false"/>
          <w:smallCaps w:val="false"/>
          <w:sz w:val="20"/>
        </w:rPr>
        <w:t>Cash and Cash Equivalents -</w:t>
      </w:r>
      <w:r>
        <w:rPr>
          <w:rFonts w:ascii="Times New Roman;Times;Serif" w:hAnsi="Times New Roman;Times;Serif"/>
          <w:b w:val="false"/>
          <w:i w:val="false"/>
          <w:caps w:val="false"/>
          <w:smallCaps w:val="false"/>
          <w:sz w:val="20"/>
        </w:rPr>
        <w:t xml:space="preserve"> The Company considers all highly liquid accounts with original maturities of three months or less at the date of acquisition to be cash equivalents. Periodically, the Company may carry cash balances at financial institutions in excess of the federally insured limit of $</w:t>
      </w:r>
      <w:bookmarkStart w:id="186" w:name="xdx_900_eus-gaap--CashFDICInsuredAmount_"/>
      <w:bookmarkEnd w:id="186"/>
      <w:r>
        <w:rPr>
          <w:rFonts w:ascii="Times New Roman;Times;Serif" w:hAnsi="Times New Roman;Times;Serif"/>
          <w:b w:val="false"/>
          <w:i w:val="false"/>
          <w:caps w:val="false"/>
          <w:smallCaps w:val="false"/>
          <w:sz w:val="20"/>
        </w:rPr>
        <w:t>250,000. The amount in excess of the FDIC insurance as of June 30, 2024 was $</w:t>
      </w:r>
      <w:bookmarkStart w:id="187" w:name="xdx_90D_eus-gaap--CashUninsuredAmount_pp"/>
      <w:bookmarkEnd w:id="187"/>
      <w:r>
        <w:rPr>
          <w:rFonts w:ascii="Times New Roman;Times;Serif" w:hAnsi="Times New Roman;Times;Serif"/>
          <w:b w:val="false"/>
          <w:i w:val="false"/>
          <w:caps w:val="false"/>
          <w:smallCaps w:val="false"/>
          <w:sz w:val="20"/>
        </w:rPr>
        <w:t>1,241,559. The Company has not experienced losses on these accounts and management believes, based upon the quality of the financial institutions, that the credit risk with regard to these deposits is not significant.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88" w:name="xdx_86B_zkiAvrJUtSth"/>
      <w:bookmarkStart w:id="189" w:name="xdx_842_eus-gaap--ShareBasedCompensation"/>
      <w:bookmarkEnd w:id="188"/>
      <w:bookmarkEnd w:id="189"/>
      <w:r>
        <w:rPr>
          <w:rFonts w:ascii="Times New Roman;Times;Serif" w:hAnsi="Times New Roman;Times;Serif"/>
          <w:b/>
          <w:i w:val="false"/>
          <w:caps w:val="false"/>
          <w:smallCaps w:val="false"/>
          <w:sz w:val="20"/>
        </w:rPr>
        <w:t>Stock-based Compensation -</w:t>
      </w:r>
      <w:r>
        <w:rPr>
          <w:rFonts w:ascii="Times New Roman;Times;Serif" w:hAnsi="Times New Roman;Times;Serif"/>
          <w:b w:val="false"/>
          <w:i w:val="false"/>
          <w:caps w:val="false"/>
          <w:smallCaps w:val="false"/>
          <w:sz w:val="20"/>
        </w:rPr>
        <w:t xml:space="preserve"> Employee and non-employee share-based compensation is measured at the grant date, based on the fair value of the award, and is recognized as an expense over the requisite service period for stock options and restricted stock units.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90" w:name="xdx_86C_ztbAWP2iX5ib"/>
      <w:bookmarkStart w:id="191" w:name="xdx_84D_ecustom--RestrictedStockUnitsPol"/>
      <w:bookmarkEnd w:id="190"/>
      <w:bookmarkEnd w:id="191"/>
      <w:r>
        <w:rPr>
          <w:rFonts w:ascii="Times New Roman;Times;Serif" w:hAnsi="Times New Roman;Times;Serif"/>
          <w:b/>
          <w:i w:val="false"/>
          <w:caps w:val="false"/>
          <w:smallCaps w:val="false"/>
          <w:sz w:val="20"/>
        </w:rPr>
        <w:t>Restricted Stock Units (“RSUs”)</w:t>
      </w:r>
      <w:r>
        <w:rPr>
          <w:rFonts w:ascii="Times New Roman;Times;Serif" w:hAnsi="Times New Roman;Times;Serif"/>
          <w:b w:val="false"/>
          <w:i w:val="false"/>
          <w:caps w:val="false"/>
          <w:smallCaps w:val="false"/>
          <w:sz w:val="20"/>
        </w:rPr>
        <w:t xml:space="preserve"> - Our RSUs vest over four years from the date of grant. The fair value of RSUs is the market price of our common stock at the date of grant.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92" w:name="xdx_86B_z0sDvXmqZVm1"/>
      <w:bookmarkStart w:id="193" w:name="xdx_849_ecustom--PerformanceUnitsPolicyT"/>
      <w:bookmarkEnd w:id="192"/>
      <w:bookmarkEnd w:id="193"/>
      <w:r>
        <w:rPr>
          <w:rFonts w:ascii="Times New Roman;Times;Serif" w:hAnsi="Times New Roman;Times;Serif"/>
          <w:b/>
          <w:i w:val="false"/>
          <w:caps w:val="false"/>
          <w:smallCaps w:val="false"/>
          <w:sz w:val="20"/>
        </w:rPr>
        <w:t>Performance Units (“PUs”)</w:t>
      </w:r>
      <w:r>
        <w:rPr>
          <w:rFonts w:ascii="Times New Roman;Times;Serif" w:hAnsi="Times New Roman;Times;Serif"/>
          <w:b w:val="false"/>
          <w:i w:val="false"/>
          <w:caps w:val="false"/>
          <w:smallCaps w:val="false"/>
          <w:sz w:val="20"/>
        </w:rPr>
        <w:t xml:space="preserve"> - The PUs vest based on our performance against predefined share price targets and the achievement of Positive Interim, Clinical Data as defined by the Board.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94" w:name="xdx_861_zO0Da4KNRK7a"/>
      <w:bookmarkStart w:id="195" w:name="xdx_84E_eus-gaap--EarningsPerSharePolicy"/>
      <w:bookmarkEnd w:id="194"/>
      <w:bookmarkEnd w:id="195"/>
      <w:r>
        <w:rPr>
          <w:rFonts w:ascii="Times New Roman;Times;Serif" w:hAnsi="Times New Roman;Times;Serif"/>
          <w:b/>
          <w:i w:val="false"/>
          <w:caps w:val="false"/>
          <w:smallCaps w:val="false"/>
          <w:sz w:val="20"/>
        </w:rPr>
        <w:t xml:space="preserve">Loss Per Common Share </w:t>
      </w:r>
      <w:r>
        <w:rPr>
          <w:rFonts w:ascii="Times New Roman;Times;Serif" w:hAnsi="Times New Roman;Times;Serif"/>
          <w:b w:val="false"/>
          <w:i w:val="false"/>
          <w:caps w:val="false"/>
          <w:smallCaps w:val="false"/>
          <w:sz w:val="20"/>
        </w:rPr>
        <w:t xml:space="preserve">- Basic loss per common share is computed by dividing net loss available to common shareholders by the weighted-average number of common shares outstanding during the period. Diluted loss per common share is determined using the weighted-average number of common shares outstanding during the period, adjusted for the dilutive effect of common stock equivalents. In periods when losses are reported, the weighted-average number of common shares outstanding excludes common stock equivalents, because their inclusion would be anti-dilutive. As of June 30, 2024, the Company’s potentially dilutive shares and options, which were not included in the calculation of net loss per share, included warrants to purchase </w:t>
      </w:r>
      <w:bookmarkStart w:id="196" w:name="xdx_908_eus-gaap--AntidilutiveSecurities"/>
      <w:bookmarkEnd w:id="196"/>
      <w:r>
        <w:rPr>
          <w:rFonts w:ascii="Times New Roman;Times;Serif" w:hAnsi="Times New Roman;Times;Serif"/>
          <w:b w:val="false"/>
          <w:i w:val="false"/>
          <w:caps w:val="false"/>
          <w:smallCaps w:val="false"/>
          <w:sz w:val="20"/>
        </w:rPr>
        <w:t xml:space="preserve">1,551,422 common shares, unvested restricted stock units of </w:t>
      </w:r>
      <w:bookmarkStart w:id="197" w:name="xdx_906_eus-gaap--AntidilutiveSecurities"/>
      <w:bookmarkEnd w:id="197"/>
      <w:r>
        <w:rPr>
          <w:rFonts w:ascii="Times New Roman;Times;Serif" w:hAnsi="Times New Roman;Times;Serif"/>
          <w:b w:val="false"/>
          <w:i w:val="false"/>
          <w:caps w:val="false"/>
          <w:smallCaps w:val="false"/>
          <w:sz w:val="20"/>
        </w:rPr>
        <w:t xml:space="preserve">5,475 common shares, unvested performance units of </w:t>
      </w:r>
      <w:bookmarkStart w:id="198" w:name="xdx_903_eus-gaap--AntidilutiveSecurities"/>
      <w:bookmarkEnd w:id="198"/>
      <w:r>
        <w:rPr>
          <w:rFonts w:ascii="Times New Roman;Times;Serif" w:hAnsi="Times New Roman;Times;Serif"/>
          <w:b w:val="false"/>
          <w:i w:val="false"/>
          <w:caps w:val="false"/>
          <w:smallCaps w:val="false"/>
          <w:sz w:val="20"/>
        </w:rPr>
        <w:t xml:space="preserve">577 and options for </w:t>
      </w:r>
      <w:bookmarkStart w:id="199" w:name="xdx_902_eus-gaap--AntidilutiveSecurities"/>
      <w:bookmarkEnd w:id="199"/>
      <w:r>
        <w:rPr>
          <w:rFonts w:ascii="Times New Roman;Times;Serif" w:hAnsi="Times New Roman;Times;Serif"/>
          <w:b w:val="false"/>
          <w:i w:val="false"/>
          <w:caps w:val="false"/>
          <w:smallCaps w:val="false"/>
          <w:sz w:val="20"/>
        </w:rPr>
        <w:t xml:space="preserve">12,177 common shares, respectively. As of June 30, 2023, the Company’s potentially dilutive shares and options, which were not included in the calculation of net loss per share, included warrants to purchase </w:t>
      </w:r>
      <w:bookmarkStart w:id="200" w:name="xdx_902_eus-gaap--AntidilutiveSecurities"/>
      <w:bookmarkEnd w:id="200"/>
      <w:r>
        <w:rPr>
          <w:rFonts w:ascii="Times New Roman;Times;Serif" w:hAnsi="Times New Roman;Times;Serif"/>
          <w:b w:val="false"/>
          <w:i w:val="false"/>
          <w:caps w:val="false"/>
          <w:smallCaps w:val="false"/>
          <w:sz w:val="20"/>
        </w:rPr>
        <w:t xml:space="preserve">45,399 common shares, unvested restricted stock units of </w:t>
      </w:r>
      <w:bookmarkStart w:id="201" w:name="xdx_90F_eus-gaap--AntidilutiveSecurities"/>
      <w:bookmarkEnd w:id="201"/>
      <w:r>
        <w:rPr>
          <w:rFonts w:ascii="Times New Roman;Times;Serif" w:hAnsi="Times New Roman;Times;Serif"/>
          <w:b w:val="false"/>
          <w:i w:val="false"/>
          <w:caps w:val="false"/>
          <w:smallCaps w:val="false"/>
          <w:sz w:val="20"/>
        </w:rPr>
        <w:t xml:space="preserve">193 common shares, unvested performance units of </w:t>
      </w:r>
      <w:bookmarkStart w:id="202" w:name="xdx_90D_eus-gaap--AntidilutiveSecurities"/>
      <w:bookmarkEnd w:id="202"/>
      <w:r>
        <w:rPr>
          <w:rFonts w:ascii="Times New Roman;Times;Serif" w:hAnsi="Times New Roman;Times;Serif"/>
          <w:b w:val="false"/>
          <w:i w:val="false"/>
          <w:caps w:val="false"/>
          <w:smallCaps w:val="false"/>
          <w:sz w:val="20"/>
        </w:rPr>
        <w:t xml:space="preserve">577 and options for </w:t>
      </w:r>
      <w:bookmarkStart w:id="203" w:name="xdx_900_eus-gaap--AntidilutiveSecurities"/>
      <w:bookmarkEnd w:id="203"/>
      <w:r>
        <w:rPr>
          <w:rFonts w:ascii="Times New Roman;Times;Serif" w:hAnsi="Times New Roman;Times;Serif"/>
          <w:b w:val="false"/>
          <w:i w:val="false"/>
          <w:caps w:val="false"/>
          <w:smallCaps w:val="false"/>
          <w:sz w:val="20"/>
        </w:rPr>
        <w:t>2,591 common shares, respectively.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04" w:name="xdx_804_eus-gaap--LongTermDebtTextBlock_"/>
      <w:bookmarkEnd w:id="204"/>
      <w:r>
        <w:rPr>
          <w:rFonts w:ascii="Times New Roman;Times;Serif" w:hAnsi="Times New Roman;Times;Serif"/>
          <w:b/>
          <w:i w:val="false"/>
          <w:caps w:val="false"/>
          <w:smallCaps w:val="false"/>
          <w:sz w:val="20"/>
        </w:rPr>
        <w:t xml:space="preserve">Note 3 – </w:t>
      </w:r>
      <w:bookmarkStart w:id="205" w:name="xdx_82A_zQFcFBf5YwE"/>
      <w:bookmarkEnd w:id="205"/>
      <w:r>
        <w:rPr>
          <w:rFonts w:ascii="Times New Roman;Times;Serif" w:hAnsi="Times New Roman;Times;Serif"/>
          <w:b/>
          <w:i w:val="false"/>
          <w:caps w:val="false"/>
          <w:smallCaps w:val="false"/>
          <w:sz w:val="20"/>
        </w:rPr>
        <w:t>Note Payable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28, 2023, the Company entered into a short-term note payable for an aggregate of $</w:t>
      </w:r>
      <w:bookmarkStart w:id="206" w:name="xdx_906_eus-gaap--ShortTermBorrowings_iI"/>
      <w:bookmarkEnd w:id="206"/>
      <w:r>
        <w:rPr>
          <w:rFonts w:ascii="Times New Roman;Times;Serif" w:hAnsi="Times New Roman;Times;Serif"/>
          <w:b w:val="false"/>
          <w:i w:val="false"/>
          <w:caps w:val="false"/>
          <w:smallCaps w:val="false"/>
          <w:sz w:val="20"/>
        </w:rPr>
        <w:t xml:space="preserve">329,571, bearing interest at </w:t>
      </w:r>
      <w:bookmarkStart w:id="207" w:name="xdx_90A_eus-gaap--DebtInstrumentInterest"/>
      <w:bookmarkEnd w:id="207"/>
      <w:r>
        <w:rPr>
          <w:rFonts w:ascii="Times New Roman;Times;Serif" w:hAnsi="Times New Roman;Times;Serif"/>
          <w:b w:val="false"/>
          <w:i w:val="false"/>
          <w:caps w:val="false"/>
          <w:smallCaps w:val="false"/>
          <w:sz w:val="20"/>
        </w:rPr>
        <w:t xml:space="preserve">9.74% per year to finance certain insurance policies. Principal and interest payments related to the note will be repaid over an 11-month period with the final payment due on </w:t>
      </w:r>
      <w:bookmarkStart w:id="208" w:name="xdx_907_eus-gaap--DebtInstrumentMaturity"/>
      <w:bookmarkEnd w:id="208"/>
      <w:r>
        <w:rPr>
          <w:rFonts w:ascii="Times New Roman;Times;Serif" w:hAnsi="Times New Roman;Times;Serif"/>
          <w:b w:val="false"/>
          <w:i w:val="false"/>
          <w:caps w:val="false"/>
          <w:smallCaps w:val="false"/>
          <w:sz w:val="20"/>
        </w:rPr>
        <w:t>October 8, 2024. As of June 30, 2024 the Company’s note payable balance was $</w:t>
      </w:r>
      <w:bookmarkStart w:id="209" w:name="xdx_906_eus-gaap--NotesPayableCurrent_iI"/>
      <w:bookmarkEnd w:id="209"/>
      <w:r>
        <w:rPr>
          <w:rFonts w:ascii="Times New Roman;Times;Serif" w:hAnsi="Times New Roman;Times;Serif"/>
          <w:b w:val="false"/>
          <w:i w:val="false"/>
          <w:caps w:val="false"/>
          <w:smallCaps w:val="false"/>
          <w:sz w:val="20"/>
        </w:rPr>
        <w:t>123,248.</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10" w:name="xdx_80D_eus-gaap--StockholdersEquityNote"/>
      <w:bookmarkEnd w:id="210"/>
      <w:r>
        <w:rPr>
          <w:rFonts w:ascii="Times New Roman;Times;Serif" w:hAnsi="Times New Roman;Times;Serif"/>
          <w:b/>
          <w:i w:val="false"/>
          <w:caps w:val="false"/>
          <w:smallCaps w:val="false"/>
          <w:sz w:val="20"/>
        </w:rPr>
        <w:t xml:space="preserve">Note 4 – </w:t>
      </w:r>
      <w:bookmarkStart w:id="211" w:name="xdx_829_zq0mxemJBZ6b"/>
      <w:bookmarkEnd w:id="211"/>
      <w:r>
        <w:rPr>
          <w:rFonts w:ascii="Times New Roman;Times;Serif" w:hAnsi="Times New Roman;Times;Serif"/>
          <w:b/>
          <w:i w:val="false"/>
          <w:caps w:val="false"/>
          <w:smallCaps w:val="false"/>
          <w:sz w:val="20"/>
        </w:rPr>
        <w:t>Equity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Company has authorized </w:t>
      </w:r>
      <w:bookmarkStart w:id="212" w:name="xdx_90E_eus-gaap--CommonStockSharesAutho"/>
      <w:bookmarkEnd w:id="212"/>
      <w:r>
        <w:rPr>
          <w:rFonts w:ascii="Times New Roman;Times;Serif" w:hAnsi="Times New Roman;Times;Serif"/>
          <w:b w:val="false"/>
          <w:i w:val="false"/>
          <w:caps w:val="false"/>
          <w:smallCaps w:val="false"/>
          <w:sz w:val="20"/>
        </w:rPr>
        <w:t>75,000,000 shares of common stock having a par value of $</w:t>
      </w:r>
      <w:bookmarkStart w:id="213" w:name="xdx_90A_eus-gaap--CommonStockParOrStated"/>
      <w:bookmarkEnd w:id="213"/>
      <w:r>
        <w:rPr>
          <w:rFonts w:ascii="Times New Roman;Times;Serif" w:hAnsi="Times New Roman;Times;Serif"/>
          <w:b w:val="false"/>
          <w:i w:val="false"/>
          <w:caps w:val="false"/>
          <w:smallCaps w:val="false"/>
          <w:sz w:val="20"/>
        </w:rPr>
        <w:t xml:space="preserve">0.001 per share. In addition, the Company authorized </w:t>
      </w:r>
      <w:bookmarkStart w:id="214" w:name="xdx_90E_eus-gaap--PreferredStockSharesAu"/>
      <w:bookmarkEnd w:id="214"/>
      <w:r>
        <w:rPr>
          <w:rFonts w:ascii="Times New Roman;Times;Serif" w:hAnsi="Times New Roman;Times;Serif"/>
          <w:b w:val="false"/>
          <w:i w:val="false"/>
          <w:caps w:val="false"/>
          <w:smallCaps w:val="false"/>
          <w:sz w:val="20"/>
        </w:rPr>
        <w:t>5,000,000 shares of preferred stock to be issued having a par value of $</w:t>
      </w:r>
      <w:bookmarkStart w:id="215" w:name="xdx_905_eus-gaap--PreferredStockParOrSta"/>
      <w:bookmarkEnd w:id="215"/>
      <w:r>
        <w:rPr>
          <w:rFonts w:ascii="Times New Roman;Times;Serif" w:hAnsi="Times New Roman;Times;Serif"/>
          <w:b w:val="false"/>
          <w:i w:val="false"/>
          <w:caps w:val="false"/>
          <w:smallCaps w:val="false"/>
          <w:sz w:val="20"/>
        </w:rPr>
        <w:t xml:space="preserve">0.001. The specific rights of the preferred stock shall be determined by the board of directors. On May 2, 2024, the Company filed a Certificate of Amendment to its Amended and Restated Articles of Incorporation with the Secretary of State of the State of Nevada to increase the number of the Company’s authorized shares of common stock from </w:t>
      </w:r>
      <w:bookmarkStart w:id="216" w:name="xdx_903_eus-gaap--CommonStockSharesAutho"/>
      <w:bookmarkEnd w:id="216"/>
      <w:r>
        <w:rPr>
          <w:rFonts w:ascii="Times New Roman;Times;Serif" w:hAnsi="Times New Roman;Times;Serif"/>
          <w:b w:val="false"/>
          <w:i w:val="false"/>
          <w:caps w:val="false"/>
          <w:smallCaps w:val="false"/>
          <w:sz w:val="20"/>
        </w:rPr>
        <w:t xml:space="preserve">75,000,000 shares to </w:t>
      </w:r>
      <w:bookmarkStart w:id="217" w:name="xdx_906_eus-gaap--CommonStockSharesAutho"/>
      <w:bookmarkEnd w:id="217"/>
      <w:r>
        <w:rPr>
          <w:rFonts w:ascii="Times New Roman;Times;Serif" w:hAnsi="Times New Roman;Times;Serif"/>
          <w:b w:val="false"/>
          <w:i w:val="false"/>
          <w:caps w:val="false"/>
          <w:smallCaps w:val="false"/>
          <w:sz w:val="20"/>
        </w:rPr>
        <w:t>300,000,000 shares.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25, 2022, the stockholders of the Company approved an amendment to the Company’s amended and restated articles of incorporation (the “Amendment”) to effect the reverse stock split at a ratio in the range of 1-for-2 to 1-for-30, with such ratio to be determined in the discretion of the Company’s board of directors and with such reverse stock split to be effected at such time and date, if at all, as determined by the Company’s board of directors in its sole discretion prior to the one-year anniversary of the annual meeting.</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caps w:val="false"/>
          <w:smallCaps w:val="false"/>
        </w:rPr>
      </w:pPr>
      <w:bookmarkStart w:id="218" w:name="xdx_232_z7fYpNLHzD9f"/>
      <w:bookmarkEnd w:id="218"/>
      <w:r>
        <w:rPr>
          <w:caps w:val="false"/>
          <w:smallCaps w:val="false"/>
        </w:rPr>
        <w:t> </w:t>
      </w:r>
    </w:p>
    <w:p>
      <w:pPr>
        <w:pStyle w:val="TextBody"/>
        <w:shd w:fill="FFFFFF" w:val="clear"/>
        <w:bidi w:val="0"/>
        <w:spacing w:before="0" w:after="0"/>
        <w:ind w:left="0" w:right="0" w:hanging="0"/>
        <w:jc w:val="left"/>
        <w:rPr>
          <w:caps w:val="false"/>
          <w:smallCaps w:val="false"/>
        </w:rPr>
      </w:pPr>
      <w:bookmarkStart w:id="219" w:name="xdx_23C_zpVLfgofQpge"/>
      <w:bookmarkEnd w:id="219"/>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8</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shd w:fill="FFFFFF" w:val="clear"/>
        <w:bidi w:val="0"/>
        <w:spacing w:before="0" w:after="0"/>
        <w:ind w:left="0" w:right="0" w:hanging="0"/>
        <w:jc w:val="left"/>
        <w:rPr>
          <w:caps w:val="false"/>
          <w:smallCaps w:val="false"/>
        </w:rPr>
      </w:pPr>
      <w:bookmarkStart w:id="220" w:name="xdx_237_zbuRW2VIXjod"/>
      <w:bookmarkEnd w:id="220"/>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such authority granted by the Company’s stockholders, the Company’s board of directors approved a one-for-thirty (1:30) reverse stock split of the Company’s common stock and the filing of the Amendment to effectuate the reverse split. The reverse stock split became effective on November 28, 2022 on a </w:t>
      </w:r>
      <w:bookmarkStart w:id="221" w:name="xdx_90D_eus-gaap--StockholdersEquityReve"/>
      <w:bookmarkEnd w:id="221"/>
      <w:r>
        <w:rPr>
          <w:rFonts w:ascii="Times New Roman;Times;Serif" w:hAnsi="Times New Roman;Times;Serif"/>
          <w:b w:val="false"/>
          <w:i w:val="false"/>
          <w:caps w:val="false"/>
          <w:smallCaps w:val="false"/>
          <w:sz w:val="20"/>
        </w:rPr>
        <w:t>1-for-30 basis without any change in the par value per share, which remained at $0.001.</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30, 2024, the stockholders of the Company approved an amendment to the Company’s amended and restated articles of incorporation (the “Amendment”) to effect the reverse stock split at a ratio in the range of 1-for-2 to 1-for-50, with such ratio to be determined in the discretion of the Company’s board of directors and with such reverse stock split to be effected at such time and date, if at all, as determined by the Company’s board of directors in its sole discretion prior to the one-year anniversary of the annual meeting.</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such authority granted by the Company’s stockholders, the Company’s board of directors approved a one-for-fifty (1:50) reverse stock split of the Company’s common stock and the filing of the Amendment to effectuate the reverse split. The reverse stock split became effective on June 4, 2024 on a </w:t>
      </w:r>
      <w:bookmarkStart w:id="222" w:name="xdx_909_eus-gaap--StockholdersEquityReve"/>
      <w:bookmarkEnd w:id="222"/>
      <w:r>
        <w:rPr>
          <w:rFonts w:ascii="Times New Roman;Times;Serif" w:hAnsi="Times New Roman;Times;Serif"/>
          <w:b w:val="false"/>
          <w:i w:val="false"/>
          <w:caps w:val="false"/>
          <w:smallCaps w:val="false"/>
          <w:sz w:val="20"/>
        </w:rPr>
        <w:t>1-for-50 basis without any change in the par value per share, which remained at $0.001.</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30, 2024, the Company held its scheduled 2024 Annual Meeting of Stockholders at which the Company’s stockholders approved amendments to the Company's 2020 Equity Plan (the “2020 Plan”) including an increase in the number of shares of common stock, par value $</w:t>
      </w:r>
      <w:bookmarkStart w:id="223" w:name="xdx_909_eus-gaap--CommonStockParOrStated"/>
      <w:bookmarkEnd w:id="223"/>
      <w:r>
        <w:rPr>
          <w:rFonts w:ascii="Times New Roman;Times;Serif" w:hAnsi="Times New Roman;Times;Serif"/>
          <w:b w:val="false"/>
          <w:i w:val="false"/>
          <w:caps w:val="false"/>
          <w:smallCaps w:val="false"/>
          <w:sz w:val="20"/>
        </w:rPr>
        <w:t xml:space="preserve">0.001 per share, authorized for issuance under the 2020 Plan by 70,000 shares. As amended, the number of shares of the common stock that may be issued under the 2020 Plan is </w:t>
      </w:r>
      <w:bookmarkStart w:id="224" w:name="xdx_906_eus-gaap--CommonStockCapitalShar"/>
      <w:bookmarkEnd w:id="224"/>
      <w:r>
        <w:rPr>
          <w:rFonts w:ascii="Times New Roman;Times;Serif" w:hAnsi="Times New Roman;Times;Serif"/>
          <w:b w:val="false"/>
          <w:i w:val="false"/>
          <w:caps w:val="false"/>
          <w:smallCaps w:val="false"/>
          <w:sz w:val="20"/>
        </w:rPr>
        <w:t xml:space="preserve">86,916 shares (this includes the </w:t>
      </w:r>
      <w:bookmarkStart w:id="225" w:name="xdx_90A_eus-gaap--ShareBasedCompensation"/>
      <w:bookmarkEnd w:id="225"/>
      <w:r>
        <w:rPr>
          <w:rFonts w:ascii="Times New Roman;Times;Serif" w:hAnsi="Times New Roman;Times;Serif"/>
          <w:b w:val="false"/>
          <w:i w:val="false"/>
          <w:caps w:val="false"/>
          <w:smallCaps w:val="false"/>
          <w:sz w:val="20"/>
        </w:rPr>
        <w:t>70,000 share increase).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Common Stock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29, 2024, the Company entered into a placement agency agreement with A.G.P./Alliance Global Partners (“AGP”) and Maxim Group LLC (“Maxim” and collectively with AGP, the “Placement Agents”) (the “Placement Agreement”) for the public offering by the Company of (i) </w:t>
      </w:r>
      <w:bookmarkStart w:id="226" w:name="xdx_909_eus-gaap--SharesIssued_iI_c20240"/>
      <w:bookmarkEnd w:id="226"/>
      <w:r>
        <w:rPr>
          <w:rFonts w:ascii="Times New Roman;Times;Serif" w:hAnsi="Times New Roman;Times;Serif"/>
          <w:b w:val="false"/>
          <w:i w:val="false"/>
          <w:caps w:val="false"/>
          <w:smallCaps w:val="false"/>
          <w:sz w:val="20"/>
        </w:rPr>
        <w:t>44,314 shares (the “Shares”) of the Company’s common stock, par value $</w:t>
      </w:r>
      <w:bookmarkStart w:id="227" w:name="xdx_906_eus-gaap--SharePrice_iI_c2024012"/>
      <w:bookmarkEnd w:id="227"/>
      <w:r>
        <w:rPr>
          <w:rFonts w:ascii="Times New Roman;Times;Serif" w:hAnsi="Times New Roman;Times;Serif"/>
          <w:b w:val="false"/>
          <w:i w:val="false"/>
          <w:caps w:val="false"/>
          <w:smallCaps w:val="false"/>
          <w:sz w:val="20"/>
        </w:rPr>
        <w:t xml:space="preserve">0.001 per share (the “Common Stock”) (ii) pre-funded warrants to purchase </w:t>
      </w:r>
      <w:bookmarkStart w:id="228" w:name="xdx_90C_ecustom--PurchaseOfPrefundedWarr"/>
      <w:bookmarkEnd w:id="228"/>
      <w:r>
        <w:rPr>
          <w:rFonts w:ascii="Times New Roman;Times;Serif" w:hAnsi="Times New Roman;Times;Serif"/>
          <w:b w:val="false"/>
          <w:i w:val="false"/>
          <w:caps w:val="false"/>
          <w:smallCaps w:val="false"/>
          <w:sz w:val="20"/>
        </w:rPr>
        <w:t xml:space="preserve">222,354 shares of Common Stock (the “Pre-Funded Warrants”); (iii) Series A Warrants to purchase up to an aggregate of </w:t>
      </w:r>
      <w:bookmarkStart w:id="229" w:name="xdx_900_ecustom--PurchaseOfPrefundedWarr"/>
      <w:bookmarkEnd w:id="229"/>
      <w:r>
        <w:rPr>
          <w:rFonts w:ascii="Times New Roman;Times;Serif" w:hAnsi="Times New Roman;Times;Serif"/>
          <w:b w:val="false"/>
          <w:i w:val="false"/>
          <w:caps w:val="false"/>
          <w:smallCaps w:val="false"/>
          <w:sz w:val="20"/>
        </w:rPr>
        <w:t xml:space="preserve">266,667 shares of Common Stock (the “Series A Warrants”); and (iv) Series B Warrants to purchase up to an aggregate of </w:t>
      </w:r>
      <w:bookmarkStart w:id="230" w:name="xdx_90C_ecustom--PurchaseOfPrefundedWarr"/>
      <w:bookmarkEnd w:id="230"/>
      <w:r>
        <w:rPr>
          <w:rFonts w:ascii="Times New Roman;Times;Serif" w:hAnsi="Times New Roman;Times;Serif"/>
          <w:b w:val="false"/>
          <w:i w:val="false"/>
          <w:caps w:val="false"/>
          <w:smallCaps w:val="false"/>
          <w:sz w:val="20"/>
        </w:rPr>
        <w:t>266,667 shares of Common Stock (the “Series B Warrants”, and together with the Series A Warrants, the “Common Warrants)). The Common Warrants and Pre-Funded Warrants are collectively referred to herein as the (“Warrants”). The combined purchase price of one share of Common Stock and accompanying Common Warrants was $</w:t>
      </w:r>
      <w:bookmarkStart w:id="231" w:name="xdx_906_ecustom--PurchasePricePerShare_i"/>
      <w:bookmarkEnd w:id="231"/>
      <w:r>
        <w:rPr>
          <w:rFonts w:ascii="Times New Roman;Times;Serif" w:hAnsi="Times New Roman;Times;Serif"/>
          <w:b w:val="false"/>
          <w:i w:val="false"/>
          <w:caps w:val="false"/>
          <w:smallCaps w:val="false"/>
          <w:sz w:val="20"/>
        </w:rPr>
        <w:t>15.00 and the combined purchase price of one Pre-Funded Warrant and accompanying Common Warrants was $</w:t>
      </w:r>
      <w:bookmarkStart w:id="232" w:name="xdx_907_ecustom--PurchasePricePerShare_i"/>
      <w:bookmarkEnd w:id="232"/>
      <w:r>
        <w:rPr>
          <w:rFonts w:ascii="Times New Roman;Times;Serif" w:hAnsi="Times New Roman;Times;Serif"/>
          <w:b w:val="false"/>
          <w:i w:val="false"/>
          <w:caps w:val="false"/>
          <w:smallCaps w:val="false"/>
          <w:sz w:val="20"/>
        </w:rPr>
        <w:t xml:space="preserve">14.95. In connection with the offering, the Company entered into a Securities Purchase Agreement (the “Purchase Agreement”) with certain institutional investors that participated in the offering. As of April 1, 2024, </w:t>
      </w:r>
      <w:bookmarkStart w:id="233" w:name="xdx_906_ecustom--PurchaseOfPrefundedWarr"/>
      <w:bookmarkEnd w:id="233"/>
      <w:r>
        <w:rPr>
          <w:rFonts w:ascii="Times New Roman;Times;Serif" w:hAnsi="Times New Roman;Times;Serif"/>
          <w:b w:val="false"/>
          <w:i w:val="false"/>
          <w:caps w:val="false"/>
          <w:smallCaps w:val="false"/>
          <w:sz w:val="20"/>
        </w:rPr>
        <w:t>44,094 of the Pre-Funded Warrants have been exercised. The closing of the sales of these securities occurred on February 1, 2024. The net proceeds to the Company from the offering were $</w:t>
      </w:r>
      <w:bookmarkStart w:id="234" w:name="xdx_908_eus-gaap--ProceedsFromIssuanceOr"/>
      <w:bookmarkEnd w:id="234"/>
      <w:r>
        <w:rPr>
          <w:rFonts w:ascii="Times New Roman;Times;Serif" w:hAnsi="Times New Roman;Times;Serif"/>
          <w:b w:val="false"/>
          <w:i w:val="false"/>
          <w:caps w:val="false"/>
          <w:smallCaps w:val="false"/>
          <w:sz w:val="20"/>
        </w:rPr>
        <w:t>3,331,000, after deducting the placement agents’ fees and other offering expenses.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June 14, 2024, the Company entered into securities purchase agreements with institutional investors for the sale by the Company of </w:t>
      </w:r>
      <w:bookmarkStart w:id="235" w:name="xdx_909_eus-gaap--StockIssuedDuringPerio"/>
      <w:bookmarkEnd w:id="235"/>
      <w:r>
        <w:rPr>
          <w:rFonts w:ascii="Times New Roman;Times;Serif" w:hAnsi="Times New Roman;Times;Serif"/>
          <w:b w:val="false"/>
          <w:i w:val="false"/>
          <w:caps w:val="false"/>
          <w:smallCaps w:val="false"/>
          <w:sz w:val="20"/>
        </w:rPr>
        <w:t xml:space="preserve">336,000 shares of the Company’s common stock and pre-funded warrants to purchase </w:t>
      </w:r>
      <w:bookmarkStart w:id="236" w:name="xdx_90A_ecustom--WarrantsIssuedShares_iI"/>
      <w:bookmarkEnd w:id="236"/>
      <w:r>
        <w:rPr>
          <w:rFonts w:ascii="Times New Roman;Times;Serif" w:hAnsi="Times New Roman;Times;Serif"/>
          <w:b w:val="false"/>
          <w:i w:val="false"/>
          <w:caps w:val="false"/>
          <w:smallCaps w:val="false"/>
          <w:sz w:val="20"/>
        </w:rPr>
        <w:t xml:space="preserve">30,000 shares of common stock in lieu thereof (the “June 14 Pre-Funded Warrants”) in a registered direct offering. In a concurrent private placement, the Company also sold to the investors unregistered warrants to purchase up to an aggregate of </w:t>
      </w:r>
      <w:bookmarkStart w:id="237" w:name="xdx_902_ecustom--WarrantsIssuedShares_iI"/>
      <w:bookmarkEnd w:id="237"/>
      <w:r>
        <w:rPr>
          <w:rFonts w:ascii="Times New Roman;Times;Serif" w:hAnsi="Times New Roman;Times;Serif"/>
          <w:b w:val="false"/>
          <w:i w:val="false"/>
          <w:caps w:val="false"/>
          <w:smallCaps w:val="false"/>
          <w:sz w:val="20"/>
        </w:rPr>
        <w:t>366,000 shares of common stock (the “June 14 Common Warrants”). The combined purchase price of one share of common stock (or pre-funded warrant in lieu thereof) and accompanying June 14 Common Warrant was $</w:t>
      </w:r>
      <w:bookmarkStart w:id="238" w:name="xdx_907_ecustom--PurchasePricePerShare_i"/>
      <w:bookmarkEnd w:id="238"/>
      <w:r>
        <w:rPr>
          <w:rFonts w:ascii="Times New Roman;Times;Serif" w:hAnsi="Times New Roman;Times;Serif"/>
          <w:b w:val="false"/>
          <w:i w:val="false"/>
          <w:caps w:val="false"/>
          <w:smallCaps w:val="false"/>
          <w:sz w:val="20"/>
        </w:rPr>
        <w:t>3.75. The closing of this offering and private placement occurred on June 17,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Subject to certain ownership limitations, each of the June 14 Common Warrants is immediately exercisable, has an exercise price of $3.62 per share, and expire five years from the date of issuance.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Subject to certain ownership limitations, each June 14 Pre-Funded Warrant is exercisable into one share of common stock at a price per share of $</w:t>
      </w:r>
      <w:bookmarkStart w:id="239" w:name="xdx_906_eus-gaap--ClassOfWarrantOrRightE"/>
      <w:bookmarkEnd w:id="239"/>
      <w:r>
        <w:rPr>
          <w:rFonts w:ascii="Times New Roman;Times;Serif" w:hAnsi="Times New Roman;Times;Serif"/>
          <w:b w:val="false"/>
          <w:i w:val="false"/>
          <w:caps w:val="false"/>
          <w:smallCaps w:val="false"/>
          <w:sz w:val="20"/>
        </w:rPr>
        <w:t>0.001 (as adjusted from time to time in accordance with the terms thereof). The gross proceeds to the Company from the offering was approximately $</w:t>
      </w:r>
      <w:bookmarkStart w:id="240" w:name="xdx_902_ecustom--GrossProceedsFromIssuan"/>
      <w:bookmarkEnd w:id="240"/>
      <w:r>
        <w:rPr>
          <w:rFonts w:ascii="Times New Roman;Times;Serif" w:hAnsi="Times New Roman;Times;Serif"/>
          <w:b w:val="false"/>
          <w:i w:val="false"/>
          <w:caps w:val="false"/>
          <w:smallCaps w:val="false"/>
          <w:sz w:val="20"/>
        </w:rPr>
        <w:t>1.37 million, resulting in net proceeds, after payment of commissions and expenses, received by the Company of $</w:t>
      </w:r>
      <w:bookmarkStart w:id="241" w:name="xdx_907_eus-gaap--ProceedsFromIssuanceOr"/>
      <w:bookmarkEnd w:id="241"/>
      <w:r>
        <w:rPr>
          <w:rFonts w:ascii="Times New Roman;Times;Serif" w:hAnsi="Times New Roman;Times;Serif"/>
          <w:b w:val="false"/>
          <w:i w:val="false"/>
          <w:caps w:val="false"/>
          <w:smallCaps w:val="false"/>
          <w:sz w:val="20"/>
        </w:rPr>
        <w:t>1,203,259.</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242" w:name="xdx_232_zwEBVvIsPi24"/>
      <w:bookmarkEnd w:id="242"/>
      <w:r>
        <w:rPr>
          <w:caps w:val="false"/>
          <w:smallCaps w:val="false"/>
        </w:rPr>
        <w:t> </w:t>
      </w:r>
    </w:p>
    <w:p>
      <w:pPr>
        <w:pStyle w:val="TextBody"/>
        <w:bidi w:val="0"/>
        <w:spacing w:before="0" w:after="0"/>
        <w:ind w:left="0" w:right="0" w:hanging="0"/>
        <w:jc w:val="left"/>
        <w:rPr>
          <w:caps w:val="false"/>
          <w:smallCaps w:val="false"/>
        </w:rPr>
      </w:pPr>
      <w:bookmarkStart w:id="243" w:name="xdx_234_zLAZgQb1x8W7"/>
      <w:bookmarkEnd w:id="243"/>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9</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44" w:name="xdx_239_z8phZRnutEHj"/>
      <w:bookmarkEnd w:id="244"/>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June 26, 2024, the Company entered into securities purchase agreements with institutional investors for the sale by the Company of </w:t>
      </w:r>
      <w:bookmarkStart w:id="245" w:name="xdx_90D_eus-gaap--StockIssuedDuringPerio"/>
      <w:bookmarkEnd w:id="245"/>
      <w:r>
        <w:rPr>
          <w:rFonts w:ascii="Times New Roman;Times;Serif" w:hAnsi="Times New Roman;Times;Serif"/>
          <w:b w:val="false"/>
          <w:i w:val="false"/>
          <w:caps w:val="false"/>
          <w:smallCaps w:val="false"/>
          <w:sz w:val="20"/>
        </w:rPr>
        <w:t xml:space="preserve">568,000 shares of the Company’s common stock in a registered direct offering. In a concurrent private placement, the Company also sold to the investors unregistered warrants to purchase up to an aggregate of </w:t>
      </w:r>
      <w:bookmarkStart w:id="246" w:name="xdx_903_ecustom--WarrantsIssuedShares_iI"/>
      <w:bookmarkEnd w:id="246"/>
      <w:r>
        <w:rPr>
          <w:rFonts w:ascii="Times New Roman;Times;Serif" w:hAnsi="Times New Roman;Times;Serif"/>
          <w:b w:val="false"/>
          <w:i w:val="false"/>
          <w:caps w:val="false"/>
          <w:smallCaps w:val="false"/>
          <w:sz w:val="20"/>
        </w:rPr>
        <w:t>568,000 shares of common stock (the “June 26 Common Warrants”). The combined purchase price of one share of common stock and accompanying June 26 Common Warrant was $</w:t>
      </w:r>
      <w:bookmarkStart w:id="247" w:name="xdx_907_ecustom--PurchasePricePerShare_i"/>
      <w:bookmarkEnd w:id="247"/>
      <w:r>
        <w:rPr>
          <w:rFonts w:ascii="Times New Roman;Times;Serif" w:hAnsi="Times New Roman;Times;Serif"/>
          <w:b w:val="false"/>
          <w:i w:val="false"/>
          <w:caps w:val="false"/>
          <w:smallCaps w:val="false"/>
          <w:sz w:val="20"/>
        </w:rPr>
        <w:t>2.45. The closing of the offering and private placement occurred on June 27, 2024 (the “Closing Date”).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Subject to certain ownership limitations, each of the June 26 Common Warrants is immediately exercisable, has an exercise price of $</w:t>
      </w:r>
      <w:bookmarkStart w:id="248" w:name="xdx_904_eus-gaap--ClassOfWarrantOrRightE"/>
      <w:bookmarkEnd w:id="248"/>
      <w:r>
        <w:rPr>
          <w:rFonts w:ascii="Times New Roman;Times;Serif" w:hAnsi="Times New Roman;Times;Serif"/>
          <w:b w:val="false"/>
          <w:i w:val="false"/>
          <w:caps w:val="false"/>
          <w:smallCaps w:val="false"/>
          <w:sz w:val="20"/>
        </w:rPr>
        <w:t>2.32 per share, and expire five years from the date of issuance. The June 26 Common Warrants may only be exercised on a cashless basis if there is no registration statement registering, or a prospectus contained therein in not available for, the resale of the shares of common stock underlying the June 26 Common Warrants. The gross proceeds to the Company from the offering were approximately $</w:t>
      </w:r>
      <w:bookmarkStart w:id="249" w:name="xdx_908_ecustom--GrossProceedsFromIssuan"/>
      <w:bookmarkEnd w:id="249"/>
      <w:r>
        <w:rPr>
          <w:rFonts w:ascii="Times New Roman;Times;Serif" w:hAnsi="Times New Roman;Times;Serif"/>
          <w:b w:val="false"/>
          <w:i w:val="false"/>
          <w:caps w:val="false"/>
          <w:smallCaps w:val="false"/>
          <w:sz w:val="20"/>
        </w:rPr>
        <w:t>1.39 million resulting in net proceeds, after payment of commissions and expenses, received by the Company of $</w:t>
      </w:r>
      <w:bookmarkStart w:id="250" w:name="xdx_90A_eus-gaap--ProceedsFromIssuanceOr"/>
      <w:bookmarkEnd w:id="250"/>
      <w:r>
        <w:rPr>
          <w:rFonts w:ascii="Times New Roman;Times;Serif" w:hAnsi="Times New Roman;Times;Serif"/>
          <w:b w:val="false"/>
          <w:i w:val="false"/>
          <w:caps w:val="false"/>
          <w:smallCaps w:val="false"/>
          <w:sz w:val="20"/>
        </w:rPr>
        <w:t>1,221,154.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Stock Options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 2017, the Board of Directors of the Company approved the CNS Pharmaceuticals, Inc. 2017 Stock Plan (the “2017 Plan”). The 2017 Plan allows for the Board of Directors to grant various forms of incentive awards for up to </w:t>
      </w:r>
      <w:bookmarkStart w:id="251" w:name="xdx_90B_eus-gaap--ShareBasedCompensation"/>
      <w:bookmarkEnd w:id="251"/>
      <w:r>
        <w:rPr>
          <w:rFonts w:ascii="Times New Roman;Times;Serif" w:hAnsi="Times New Roman;Times;Serif"/>
          <w:b w:val="false"/>
          <w:i w:val="false"/>
          <w:caps w:val="false"/>
          <w:smallCaps w:val="false"/>
          <w:sz w:val="20"/>
        </w:rPr>
        <w:t>1,334 shares of common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 2020, the Board of Directors of the Company approved the CNS Pharmaceuticals, Inc. 2020 Stock Plan (the “2020 Plan”). The 2020 Plan allows for the Board of Directors to grant various forms of incentive awards for up to </w:t>
      </w:r>
      <w:bookmarkStart w:id="252" w:name="xdx_90D_eus-gaap--ShareBasedCompensation"/>
      <w:bookmarkEnd w:id="252"/>
      <w:r>
        <w:rPr>
          <w:rFonts w:ascii="Times New Roman;Times;Serif" w:hAnsi="Times New Roman;Times;Serif"/>
          <w:b w:val="false"/>
          <w:i w:val="false"/>
          <w:caps w:val="false"/>
          <w:smallCaps w:val="false"/>
          <w:sz w:val="20"/>
        </w:rPr>
        <w:t xml:space="preserve">2,000 shares of common stock. The 2020 Plan was amended effective as of August 9, 2023, which was approved by the Company’s stockholders at the Company’s annual meeting on September 14, 2023. The amendment increased the 2020 Plan by </w:t>
      </w:r>
      <w:bookmarkStart w:id="253" w:name="xdx_90D_eus-gaap--ShareBasedCompensation"/>
      <w:bookmarkEnd w:id="253"/>
      <w:r>
        <w:rPr>
          <w:rFonts w:ascii="Times New Roman;Times;Serif" w:hAnsi="Times New Roman;Times;Serif"/>
          <w:b w:val="false"/>
          <w:i w:val="false"/>
          <w:caps w:val="false"/>
          <w:smallCaps w:val="false"/>
          <w:sz w:val="20"/>
        </w:rPr>
        <w:t>14,916 shares of common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January 19, 2024, the Board of Directors of the Company approved the issuance of </w:t>
      </w:r>
      <w:bookmarkStart w:id="254" w:name="xdx_900_eus-gaap--ShareBasedCompensation"/>
      <w:bookmarkEnd w:id="254"/>
      <w:r>
        <w:rPr>
          <w:rFonts w:ascii="Times New Roman;Times;Serif" w:hAnsi="Times New Roman;Times;Serif"/>
          <w:b w:val="false"/>
          <w:i w:val="false"/>
          <w:caps w:val="false"/>
          <w:smallCaps w:val="false"/>
          <w:sz w:val="20"/>
        </w:rPr>
        <w:t>249 options to Ms. Mahery as compensation for her appointment to our Board of Directors. The options have a ten-year term at an exercise price of $</w:t>
      </w:r>
      <w:bookmarkStart w:id="255" w:name="xdx_90B_eus-gaap--ShareBasedCompensation"/>
      <w:bookmarkEnd w:id="255"/>
      <w:r>
        <w:rPr>
          <w:rFonts w:ascii="Times New Roman;Times;Serif" w:hAnsi="Times New Roman;Times;Serif"/>
          <w:b w:val="false"/>
          <w:i w:val="false"/>
          <w:caps w:val="false"/>
          <w:smallCaps w:val="false"/>
          <w:sz w:val="20"/>
        </w:rPr>
        <w:t xml:space="preserve">12.65 and </w:t>
      </w:r>
      <w:bookmarkStart w:id="256" w:name="xdx_90C_eus-gaap--ShareBasedCompensation"/>
      <w:bookmarkEnd w:id="256"/>
      <w:r>
        <w:rPr>
          <w:rFonts w:ascii="Times New Roman;Times;Serif" w:hAnsi="Times New Roman;Times;Serif"/>
          <w:b w:val="false"/>
          <w:i w:val="false"/>
          <w:caps w:val="false"/>
          <w:smallCaps w:val="false"/>
          <w:sz w:val="20"/>
        </w:rPr>
        <w:t>vest in 36 equal monthly installments succeeding the issuance date. The total fair value of these option grants at issuance was $</w:t>
      </w:r>
      <w:bookmarkStart w:id="257" w:name="xdx_908_ecustom--FairValueOfOptionsGrant"/>
      <w:bookmarkEnd w:id="257"/>
      <w:r>
        <w:rPr>
          <w:rFonts w:ascii="Times New Roman;Times;Serif" w:hAnsi="Times New Roman;Times;Serif"/>
          <w:b w:val="false"/>
          <w:i w:val="false"/>
          <w:caps w:val="false"/>
          <w:smallCaps w:val="false"/>
          <w:sz w:val="20"/>
        </w:rPr>
        <w:t>2,728.</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7, 2024, the Board of Directors approved grants of </w:t>
      </w:r>
      <w:bookmarkStart w:id="258" w:name="xdx_90E_eus-gaap--ShareBasedCompensation"/>
      <w:bookmarkEnd w:id="258"/>
      <w:r>
        <w:rPr>
          <w:rFonts w:ascii="Times New Roman;Times;Serif" w:hAnsi="Times New Roman;Times;Serif"/>
          <w:b w:val="false"/>
          <w:i w:val="false"/>
          <w:caps w:val="false"/>
          <w:smallCaps w:val="false"/>
          <w:sz w:val="20"/>
        </w:rPr>
        <w:t>5,330 options to officers, employees, and board of directors. The options have a ten-year term at an exercise price of $</w:t>
      </w:r>
      <w:bookmarkStart w:id="259" w:name="xdx_905_eus-gaap--ShareBasedCompensation"/>
      <w:bookmarkEnd w:id="259"/>
      <w:r>
        <w:rPr>
          <w:rFonts w:ascii="Times New Roman;Times;Serif" w:hAnsi="Times New Roman;Times;Serif"/>
          <w:b w:val="false"/>
          <w:i w:val="false"/>
          <w:caps w:val="false"/>
          <w:smallCaps w:val="false"/>
          <w:sz w:val="20"/>
        </w:rPr>
        <w:t xml:space="preserve">12.93. Of the </w:t>
      </w:r>
      <w:bookmarkStart w:id="260" w:name="xdx_90A_eus-gaap--ShareBasedCompensation"/>
      <w:bookmarkEnd w:id="260"/>
      <w:r>
        <w:rPr>
          <w:rFonts w:ascii="Times New Roman;Times;Serif" w:hAnsi="Times New Roman;Times;Serif"/>
          <w:b w:val="false"/>
          <w:i w:val="false"/>
          <w:caps w:val="false"/>
          <w:smallCaps w:val="false"/>
          <w:sz w:val="20"/>
        </w:rPr>
        <w:t xml:space="preserve">5,330 options issued, </w:t>
      </w:r>
      <w:bookmarkStart w:id="261" w:name="xdx_909_eus-gaap--SharebasedCompensation"/>
      <w:bookmarkEnd w:id="261"/>
      <w:r>
        <w:rPr>
          <w:rFonts w:ascii="Times New Roman;Times;Serif" w:hAnsi="Times New Roman;Times;Serif"/>
          <w:b w:val="false"/>
          <w:i w:val="false"/>
          <w:caps w:val="false"/>
          <w:smallCaps w:val="false"/>
          <w:sz w:val="20"/>
        </w:rPr>
        <w:t xml:space="preserve">1,750 options vest on the first anniversary or at the time of the 2025 shareholder meeting, whichever occurs first and </w:t>
      </w:r>
      <w:bookmarkStart w:id="262" w:name="xdx_901_eus-gaap--SharebasedCompensation"/>
      <w:bookmarkEnd w:id="262"/>
      <w:r>
        <w:rPr>
          <w:rFonts w:ascii="Times New Roman;Times;Serif" w:hAnsi="Times New Roman;Times;Serif"/>
          <w:b w:val="false"/>
          <w:i w:val="false"/>
          <w:caps w:val="false"/>
          <w:smallCaps w:val="false"/>
          <w:sz w:val="20"/>
        </w:rPr>
        <w:t xml:space="preserve">3,580 options </w:t>
      </w:r>
      <w:bookmarkStart w:id="263" w:name="xdx_901_eus-gaap--ShareBasedCompensation"/>
      <w:bookmarkEnd w:id="263"/>
      <w:r>
        <w:rPr>
          <w:rFonts w:ascii="Times New Roman;Times;Serif" w:hAnsi="Times New Roman;Times;Serif"/>
          <w:b w:val="false"/>
          <w:i w:val="false"/>
          <w:caps w:val="false"/>
          <w:smallCaps w:val="false"/>
          <w:sz w:val="20"/>
        </w:rPr>
        <w:t>vest in 36 equal monthly installments over 3 years. The total fair value of these option grants at issuance was $</w:t>
      </w:r>
      <w:bookmarkStart w:id="264" w:name="xdx_901_ecustom--FairValueOfOptionsGrant"/>
      <w:bookmarkEnd w:id="264"/>
      <w:r>
        <w:rPr>
          <w:rFonts w:ascii="Times New Roman;Times;Serif" w:hAnsi="Times New Roman;Times;Serif"/>
          <w:b w:val="false"/>
          <w:i w:val="false"/>
          <w:caps w:val="false"/>
          <w:smallCaps w:val="false"/>
          <w:sz w:val="20"/>
        </w:rPr>
        <w:t>58,335.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six months ended June 30, 2024 and 2023, the Company recognized $</w:t>
      </w:r>
      <w:bookmarkStart w:id="265" w:name="xdx_90B_eus-gaap--ShareBasedCompensation"/>
      <w:bookmarkEnd w:id="265"/>
      <w:r>
        <w:rPr>
          <w:rFonts w:ascii="Times New Roman;Times;Serif" w:hAnsi="Times New Roman;Times;Serif"/>
          <w:b w:val="false"/>
          <w:i w:val="false"/>
          <w:caps w:val="false"/>
          <w:smallCaps w:val="false"/>
          <w:sz w:val="20"/>
        </w:rPr>
        <w:t>412,749 and $</w:t>
      </w:r>
      <w:bookmarkStart w:id="266" w:name="xdx_90D_eus-gaap--ShareBasedCompensation"/>
      <w:bookmarkEnd w:id="266"/>
      <w:r>
        <w:rPr>
          <w:rFonts w:ascii="Times New Roman;Times;Serif" w:hAnsi="Times New Roman;Times;Serif"/>
          <w:b w:val="false"/>
          <w:i w:val="false"/>
          <w:caps w:val="false"/>
          <w:smallCaps w:val="false"/>
          <w:sz w:val="20"/>
        </w:rPr>
        <w:t>544,248 of stock-based compensation, respectively, related to outstanding stock options. At June 30, 2024, the Company had $</w:t>
      </w:r>
      <w:bookmarkStart w:id="267" w:name="xdx_90F_eus-gaap--EmployeeServiceShareBa"/>
      <w:bookmarkEnd w:id="267"/>
      <w:r>
        <w:rPr>
          <w:rFonts w:ascii="Times New Roman;Times;Serif" w:hAnsi="Times New Roman;Times;Serif"/>
          <w:b w:val="false"/>
          <w:i w:val="false"/>
          <w:caps w:val="false"/>
          <w:smallCaps w:val="false"/>
          <w:sz w:val="20"/>
        </w:rPr>
        <w:t>366,400 of unrecognized expenses related to outstanding options.</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stock option activity for the six months ended June 30, 2024:</w:t>
      </w:r>
    </w:p>
    <w:p>
      <w:pPr>
        <w:pStyle w:val="Normal"/>
        <w:bidi w:val="0"/>
        <w:spacing w:before="0" w:after="0"/>
        <w:jc w:val="left"/>
        <w:rPr>
          <w:sz w:val="4"/>
          <w:szCs w:val="4"/>
        </w:rPr>
      </w:pPr>
      <w:r>
        <w:rPr>
          <w:sz w:val="4"/>
          <w:szCs w:val="4"/>
        </w:rPr>
      </w:r>
      <w:bookmarkStart w:id="268" w:name="xdx_883_eus-gaap--ScheduleOfShareBasedCo"/>
      <w:bookmarkStart w:id="269" w:name="xdx_883_eus-gaap--ScheduleOfShareBasedCo"/>
      <w:bookmarkEnd w:id="269"/>
    </w:p>
    <w:tbl>
      <w:tblPr>
        <w:tblW w:w="8579" w:type="dxa"/>
        <w:jc w:val="left"/>
        <w:tblInd w:w="0" w:type="dxa"/>
        <w:tblLayout w:type="fixed"/>
        <w:tblCellMar>
          <w:top w:w="0" w:type="dxa"/>
          <w:left w:w="0" w:type="dxa"/>
          <w:bottom w:w="0" w:type="dxa"/>
          <w:right w:w="0" w:type="dxa"/>
        </w:tblCellMar>
      </w:tblPr>
      <w:tblGrid>
        <w:gridCol w:w="3125"/>
        <w:gridCol w:w="60"/>
        <w:gridCol w:w="61"/>
        <w:gridCol w:w="692"/>
        <w:gridCol w:w="62"/>
        <w:gridCol w:w="60"/>
        <w:gridCol w:w="587"/>
        <w:gridCol w:w="3616"/>
        <w:gridCol w:w="316"/>
      </w:tblGrid>
      <w:tr>
        <w:trPr/>
        <w:tc>
          <w:tcPr>
            <w:tcW w:w="3125" w:type="dxa"/>
            <w:tcBorders/>
            <w:vAlign w:val="center"/>
          </w:tcPr>
          <w:p>
            <w:pPr>
              <w:pStyle w:val="TableContents"/>
              <w:bidi w:val="0"/>
              <w:spacing w:before="0" w:after="283"/>
              <w:jc w:val="left"/>
              <w:rPr/>
            </w:pPr>
            <w:bookmarkStart w:id="270" w:name="xdx_8B7_z4MHRcyYwCMi"/>
            <w:bookmarkEnd w:id="270"/>
            <w:r>
              <w:rPr/>
              <w:t>Schedule of stock option activity</w:t>
            </w:r>
          </w:p>
        </w:tc>
        <w:tc>
          <w:tcPr>
            <w:tcW w:w="60" w:type="dxa"/>
            <w:tcBorders/>
            <w:vAlign w:val="center"/>
          </w:tcPr>
          <w:p>
            <w:pPr>
              <w:pStyle w:val="TableContents"/>
              <w:bidi w:val="0"/>
              <w:spacing w:before="0" w:after="283"/>
              <w:jc w:val="left"/>
              <w:rPr/>
            </w:pPr>
            <w:r>
              <w:rPr/>
              <w:t> </w:t>
            </w:r>
          </w:p>
        </w:tc>
        <w:tc>
          <w:tcPr>
            <w:tcW w:w="815" w:type="dxa"/>
            <w:gridSpan w:val="3"/>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4519" w:type="dxa"/>
            <w:gridSpan w:val="3"/>
            <w:tcBorders/>
            <w:vAlign w:val="center"/>
          </w:tcPr>
          <w:p>
            <w:pPr>
              <w:pStyle w:val="TableContents"/>
              <w:bidi w:val="0"/>
              <w:spacing w:before="0" w:after="283"/>
              <w:jc w:val="right"/>
              <w:rPr/>
            </w:pPr>
            <w:r>
              <w:rPr/>
              <w:t> </w:t>
            </w:r>
          </w:p>
        </w:tc>
      </w:tr>
      <w:tr>
        <w:trPr/>
        <w:tc>
          <w:tcPr>
            <w:tcW w:w="31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15" w:type="dxa"/>
            <w:gridSpan w:val="3"/>
            <w:tcBorders>
              <w:bottom w:val="single" w:sz="8" w:space="0" w:color="000000"/>
            </w:tcBorders>
            <w:tcMar>
              <w:bottom w:w="28" w:type="dxa"/>
            </w:tcMar>
            <w:vAlign w:val="center"/>
          </w:tcPr>
          <w:p>
            <w:pPr>
              <w:pStyle w:val="TableContents"/>
              <w:bidi w:val="0"/>
              <w:spacing w:before="0" w:after="283"/>
              <w:jc w:val="center"/>
              <w:rPr>
                <w:b/>
              </w:rPr>
            </w:pPr>
            <w:r>
              <w:rPr>
                <w:b/>
              </w:rPr>
              <w:t>Options</w:t>
            </w:r>
          </w:p>
        </w:tc>
        <w:tc>
          <w:tcPr>
            <w:tcW w:w="60" w:type="dxa"/>
            <w:tcBorders/>
            <w:vAlign w:val="center"/>
          </w:tcPr>
          <w:p>
            <w:pPr>
              <w:pStyle w:val="TableContents"/>
              <w:bidi w:val="0"/>
              <w:spacing w:before="0" w:after="283"/>
              <w:jc w:val="left"/>
              <w:rPr/>
            </w:pPr>
            <w:r>
              <w:rPr/>
              <w:t> </w:t>
            </w:r>
          </w:p>
        </w:tc>
        <w:tc>
          <w:tcPr>
            <w:tcW w:w="4519" w:type="dxa"/>
            <w:gridSpan w:val="3"/>
            <w:tcBorders>
              <w:bottom w:val="single" w:sz="8" w:space="0" w:color="000000"/>
            </w:tcBorders>
            <w:tcMar>
              <w:bottom w:w="28" w:type="dxa"/>
            </w:tcMar>
            <w:vAlign w:val="center"/>
          </w:tcPr>
          <w:p>
            <w:pPr>
              <w:pStyle w:val="TableContents"/>
              <w:bidi w:val="0"/>
              <w:spacing w:before="0" w:after="283"/>
              <w:jc w:val="center"/>
              <w:rPr>
                <w:b/>
              </w:rPr>
            </w:pPr>
            <w:r>
              <w:rPr>
                <w:b/>
              </w:rPr>
              <w:t>Weighted-Average Exercise Price Per Share</w:t>
            </w:r>
          </w:p>
        </w:tc>
      </w:tr>
      <w:tr>
        <w:trPr/>
        <w:tc>
          <w:tcPr>
            <w:tcW w:w="312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Outstanding, December 31, 2023</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bookmarkStart w:id="271" w:name="xdx_982_eus-gaap--ShareBasedCompensation"/>
            <w:bookmarkEnd w:id="271"/>
          </w:p>
        </w:tc>
        <w:tc>
          <w:tcPr>
            <w:tcW w:w="692" w:type="dxa"/>
            <w:tcBorders/>
            <w:shd w:fill="EEEEEE" w:val="clear"/>
            <w:vAlign w:val="center"/>
          </w:tcPr>
          <w:p>
            <w:pPr>
              <w:pStyle w:val="TableContents"/>
              <w:bidi w:val="0"/>
              <w:spacing w:before="0" w:after="283"/>
              <w:jc w:val="right"/>
              <w:rPr/>
            </w:pPr>
            <w:r>
              <w:rPr/>
              <w:t>6,598</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87" w:type="dxa"/>
            <w:tcBorders/>
            <w:shd w:fill="EEEEEE" w:val="clear"/>
            <w:vAlign w:val="center"/>
          </w:tcPr>
          <w:p>
            <w:pPr>
              <w:pStyle w:val="TableContents"/>
              <w:bidi w:val="0"/>
              <w:spacing w:before="0" w:after="283"/>
              <w:jc w:val="left"/>
              <w:rPr/>
            </w:pPr>
            <w:r>
              <w:rPr/>
              <w:t>$</w:t>
            </w:r>
            <w:bookmarkStart w:id="272" w:name="xdx_988_eus-gaap--ShareBasedCompensation"/>
            <w:bookmarkEnd w:id="272"/>
          </w:p>
        </w:tc>
        <w:tc>
          <w:tcPr>
            <w:tcW w:w="3616" w:type="dxa"/>
            <w:tcBorders/>
            <w:shd w:fill="EEEEEE" w:val="clear"/>
            <w:vAlign w:val="center"/>
          </w:tcPr>
          <w:p>
            <w:pPr>
              <w:pStyle w:val="TableContents"/>
              <w:bidi w:val="0"/>
              <w:spacing w:before="0" w:after="283"/>
              <w:jc w:val="right"/>
              <w:rPr/>
            </w:pPr>
            <w:r>
              <w:rPr/>
              <w:t>1,020.47</w:t>
            </w:r>
          </w:p>
        </w:tc>
        <w:tc>
          <w:tcPr>
            <w:tcW w:w="316"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Granted</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bookmarkStart w:id="273" w:name="xdx_983_eus-gaap--ShareBasedCompensation"/>
            <w:bookmarkEnd w:id="273"/>
          </w:p>
        </w:tc>
        <w:tc>
          <w:tcPr>
            <w:tcW w:w="692" w:type="dxa"/>
            <w:tcBorders/>
            <w:shd w:fill="FFFFFF" w:val="clear"/>
            <w:vAlign w:val="center"/>
          </w:tcPr>
          <w:p>
            <w:pPr>
              <w:pStyle w:val="TableContents"/>
              <w:bidi w:val="0"/>
              <w:spacing w:before="0" w:after="283"/>
              <w:jc w:val="right"/>
              <w:rPr/>
            </w:pPr>
            <w:r>
              <w:rPr/>
              <w:t>5,579</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87" w:type="dxa"/>
            <w:tcBorders/>
            <w:shd w:fill="FFFFFF" w:val="clear"/>
            <w:vAlign w:val="center"/>
          </w:tcPr>
          <w:p>
            <w:pPr>
              <w:pStyle w:val="TableContents"/>
              <w:bidi w:val="0"/>
              <w:spacing w:before="0" w:after="283"/>
              <w:jc w:val="left"/>
              <w:rPr/>
            </w:pPr>
            <w:r>
              <w:rPr/>
              <w:t> </w:t>
            </w:r>
            <w:bookmarkStart w:id="274" w:name="xdx_984_eus-gaap--ShareBasedCompensation"/>
            <w:bookmarkEnd w:id="274"/>
          </w:p>
        </w:tc>
        <w:tc>
          <w:tcPr>
            <w:tcW w:w="3616" w:type="dxa"/>
            <w:tcBorders/>
            <w:shd w:fill="FFFFFF" w:val="clear"/>
            <w:vAlign w:val="center"/>
          </w:tcPr>
          <w:p>
            <w:pPr>
              <w:pStyle w:val="TableContents"/>
              <w:bidi w:val="0"/>
              <w:spacing w:before="0" w:after="283"/>
              <w:jc w:val="right"/>
              <w:rPr/>
            </w:pPr>
            <w:r>
              <w:rPr/>
              <w:t>12.92</w:t>
            </w:r>
          </w:p>
        </w:tc>
        <w:tc>
          <w:tcPr>
            <w:tcW w:w="316"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Exercised</w:t>
            </w:r>
          </w:p>
        </w:tc>
        <w:tc>
          <w:tcPr>
            <w:tcW w:w="60" w:type="dxa"/>
            <w:tcBorders/>
            <w:shd w:fill="EEEEEE" w:val="clear"/>
            <w:vAlign w:val="center"/>
          </w:tcPr>
          <w:p>
            <w:pPr>
              <w:pStyle w:val="TableContents"/>
              <w:bidi w:val="0"/>
              <w:spacing w:before="0" w:after="283"/>
              <w:jc w:val="left"/>
              <w:rPr/>
            </w:pPr>
            <w:r>
              <w:rPr/>
              <w:t> </w:t>
            </w:r>
          </w:p>
        </w:tc>
        <w:tc>
          <w:tcPr>
            <w:tcW w:w="61" w:type="dxa"/>
            <w:tcBorders/>
            <w:shd w:fill="EEEEEE" w:val="clear"/>
            <w:vAlign w:val="center"/>
          </w:tcPr>
          <w:p>
            <w:pPr>
              <w:pStyle w:val="TableContents"/>
              <w:bidi w:val="0"/>
              <w:spacing w:before="0" w:after="283"/>
              <w:jc w:val="left"/>
              <w:rPr/>
            </w:pPr>
            <w:r>
              <w:rPr/>
              <w:t> </w:t>
            </w:r>
            <w:bookmarkStart w:id="275" w:name="xdx_980_eus-gaap--StockIssuedDuringPerio"/>
            <w:bookmarkEnd w:id="275"/>
          </w:p>
        </w:tc>
        <w:tc>
          <w:tcPr>
            <w:tcW w:w="692" w:type="dxa"/>
            <w:tcBorders/>
            <w:shd w:fill="EEEEEE" w:val="cle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87" w:type="dxa"/>
            <w:tcBorders/>
            <w:shd w:fill="EEEEEE" w:val="clear"/>
            <w:vAlign w:val="center"/>
          </w:tcPr>
          <w:p>
            <w:pPr>
              <w:pStyle w:val="TableContents"/>
              <w:bidi w:val="0"/>
              <w:spacing w:before="0" w:after="283"/>
              <w:jc w:val="left"/>
              <w:rPr/>
            </w:pPr>
            <w:r>
              <w:rPr/>
              <w:t> </w:t>
            </w:r>
            <w:bookmarkStart w:id="276" w:name="xdx_980_eus-gaap--ShareBasedCompensation"/>
            <w:bookmarkEnd w:id="276"/>
          </w:p>
        </w:tc>
        <w:tc>
          <w:tcPr>
            <w:tcW w:w="3616" w:type="dxa"/>
            <w:tcBorders/>
            <w:shd w:fill="EEEEEE" w:val="clear"/>
            <w:vAlign w:val="center"/>
          </w:tcPr>
          <w:p>
            <w:pPr>
              <w:pStyle w:val="TableContents"/>
              <w:bidi w:val="0"/>
              <w:spacing w:before="0" w:after="283"/>
              <w:jc w:val="right"/>
              <w:rPr/>
            </w:pPr>
            <w:r>
              <w:rPr/>
              <w:t>–</w:t>
            </w:r>
          </w:p>
        </w:tc>
        <w:tc>
          <w:tcPr>
            <w:tcW w:w="316"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Forfeited</w:t>
            </w:r>
          </w:p>
        </w:tc>
        <w:tc>
          <w:tcPr>
            <w:tcW w:w="60" w:type="dxa"/>
            <w:tcBorders/>
            <w:shd w:fill="FFFFFF" w:val="clear"/>
            <w:vAlign w:val="center"/>
          </w:tcPr>
          <w:p>
            <w:pPr>
              <w:pStyle w:val="TableContents"/>
              <w:bidi w:val="0"/>
              <w:spacing w:before="0" w:after="283"/>
              <w:jc w:val="left"/>
              <w:rPr/>
            </w:pPr>
            <w:r>
              <w:rPr/>
              <w:t> </w:t>
            </w:r>
          </w:p>
        </w:tc>
        <w:tc>
          <w:tcPr>
            <w:tcW w:w="61" w:type="dxa"/>
            <w:tcBorders/>
            <w:shd w:fill="FFFFFF" w:val="clear"/>
            <w:vAlign w:val="center"/>
          </w:tcPr>
          <w:p>
            <w:pPr>
              <w:pStyle w:val="TableContents"/>
              <w:bidi w:val="0"/>
              <w:spacing w:before="0" w:after="283"/>
              <w:jc w:val="left"/>
              <w:rPr/>
            </w:pPr>
            <w:r>
              <w:rPr/>
              <w:t> </w:t>
            </w:r>
            <w:bookmarkStart w:id="277" w:name="xdx_981_eus-gaap--ShareBasedCompensation"/>
            <w:bookmarkEnd w:id="277"/>
          </w:p>
        </w:tc>
        <w:tc>
          <w:tcPr>
            <w:tcW w:w="692" w:type="dxa"/>
            <w:tcBorders/>
            <w:shd w:fill="FFFFFF" w:val="clear"/>
            <w:vAlign w:val="center"/>
          </w:tcPr>
          <w:p>
            <w:pPr>
              <w:pStyle w:val="TableContents"/>
              <w:bidi w:val="0"/>
              <w:spacing w:before="0" w:after="283"/>
              <w:jc w:val="right"/>
              <w:rPr/>
            </w:pPr>
            <w:r>
              <w:rPr/>
              <w:t>–</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87" w:type="dxa"/>
            <w:tcBorders/>
            <w:shd w:fill="FFFFFF" w:val="clear"/>
            <w:vAlign w:val="center"/>
          </w:tcPr>
          <w:p>
            <w:pPr>
              <w:pStyle w:val="TableContents"/>
              <w:bidi w:val="0"/>
              <w:spacing w:before="0" w:after="283"/>
              <w:jc w:val="left"/>
              <w:rPr/>
            </w:pPr>
            <w:r>
              <w:rPr/>
              <w:t> </w:t>
            </w:r>
            <w:bookmarkStart w:id="278" w:name="xdx_98A_eus-gaap--ShareBasedCompensation"/>
            <w:bookmarkEnd w:id="278"/>
          </w:p>
        </w:tc>
        <w:tc>
          <w:tcPr>
            <w:tcW w:w="3616" w:type="dxa"/>
            <w:tcBorders/>
            <w:shd w:fill="FFFFFF" w:val="clear"/>
            <w:vAlign w:val="center"/>
          </w:tcPr>
          <w:p>
            <w:pPr>
              <w:pStyle w:val="TableContents"/>
              <w:bidi w:val="0"/>
              <w:spacing w:before="0" w:after="283"/>
              <w:jc w:val="right"/>
              <w:rPr/>
            </w:pPr>
            <w:r>
              <w:rPr/>
              <w:t>–</w:t>
            </w:r>
          </w:p>
        </w:tc>
        <w:tc>
          <w:tcPr>
            <w:tcW w:w="316"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Expired</w:t>
            </w:r>
          </w:p>
        </w:tc>
        <w:tc>
          <w:tcPr>
            <w:tcW w:w="60" w:type="dxa"/>
            <w:tcBorders/>
            <w:shd w:fill="EEEEEE" w:val="clear"/>
            <w:vAlign w:val="center"/>
          </w:tcPr>
          <w:p>
            <w:pPr>
              <w:pStyle w:val="TableContents"/>
              <w:bidi w:val="0"/>
              <w:spacing w:before="0" w:after="283"/>
              <w:jc w:val="left"/>
              <w:rPr/>
            </w:pPr>
            <w:r>
              <w:rPr/>
              <w:t> </w:t>
            </w:r>
          </w:p>
        </w:tc>
        <w:tc>
          <w:tcPr>
            <w:tcW w:w="6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279" w:name="xdx_986_eus-gaap--ShareBasedCompensation"/>
            <w:bookmarkEnd w:id="279"/>
          </w:p>
        </w:tc>
        <w:tc>
          <w:tcPr>
            <w:tcW w:w="692"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8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280" w:name="xdx_98C_eus-gaap--ShareBasedCompensation"/>
            <w:bookmarkEnd w:id="280"/>
          </w:p>
        </w:tc>
        <w:tc>
          <w:tcPr>
            <w:tcW w:w="3616"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316" w:type="dxa"/>
            <w:tcBorders/>
            <w:shd w:fill="EEEEEE" w:val="clear"/>
            <w:vAlign w:val="center"/>
          </w:tcPr>
          <w:p>
            <w:pPr>
              <w:pStyle w:val="TableContents"/>
              <w:bidi w:val="0"/>
              <w:spacing w:before="0" w:after="283"/>
              <w:jc w:val="left"/>
              <w:rPr/>
            </w:pPr>
            <w:r>
              <w:rPr/>
              <w:t> </w:t>
            </w:r>
          </w:p>
        </w:tc>
      </w:tr>
      <w:tr>
        <w:trPr/>
        <w:tc>
          <w:tcPr>
            <w:tcW w:w="312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Outstanding, June 30, 2024</w:t>
            </w:r>
          </w:p>
        </w:tc>
        <w:tc>
          <w:tcPr>
            <w:tcW w:w="60" w:type="dxa"/>
            <w:tcBorders/>
            <w:shd w:fill="FFFFFF" w:val="clear"/>
            <w:vAlign w:val="center"/>
          </w:tcPr>
          <w:p>
            <w:pPr>
              <w:pStyle w:val="TableContents"/>
              <w:bidi w:val="0"/>
              <w:spacing w:before="0" w:after="283"/>
              <w:jc w:val="left"/>
              <w:rPr/>
            </w:pPr>
            <w:r>
              <w:rPr/>
              <w:t> </w:t>
            </w:r>
          </w:p>
        </w:tc>
        <w:tc>
          <w:tcPr>
            <w:tcW w:w="6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281" w:name="xdx_981_eus-gaap--ShareBasedCompensation"/>
            <w:bookmarkEnd w:id="281"/>
          </w:p>
        </w:tc>
        <w:tc>
          <w:tcPr>
            <w:tcW w:w="692" w:type="dxa"/>
            <w:tcBorders>
              <w:bottom w:val="double" w:sz="6" w:space="0" w:color="000000"/>
            </w:tcBorders>
            <w:shd w:fill="FFFFFF" w:val="clear"/>
            <w:tcMar>
              <w:bottom w:w="28" w:type="dxa"/>
            </w:tcMar>
            <w:vAlign w:val="center"/>
          </w:tcPr>
          <w:p>
            <w:pPr>
              <w:pStyle w:val="TableContents"/>
              <w:bidi w:val="0"/>
              <w:spacing w:before="0" w:after="283"/>
              <w:jc w:val="right"/>
              <w:rPr/>
            </w:pPr>
            <w:r>
              <w:rPr/>
              <w:t>12,177</w:t>
            </w:r>
          </w:p>
        </w:tc>
        <w:tc>
          <w:tcPr>
            <w:tcW w:w="62"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8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bookmarkStart w:id="282" w:name="xdx_982_eus-gaap--ShareBasedCompensation"/>
            <w:bookmarkEnd w:id="282"/>
          </w:p>
        </w:tc>
        <w:tc>
          <w:tcPr>
            <w:tcW w:w="3616" w:type="dxa"/>
            <w:tcBorders>
              <w:bottom w:val="double" w:sz="6" w:space="0" w:color="000000"/>
            </w:tcBorders>
            <w:shd w:fill="FFFFFF" w:val="clear"/>
            <w:tcMar>
              <w:bottom w:w="28" w:type="dxa"/>
            </w:tcMar>
            <w:vAlign w:val="center"/>
          </w:tcPr>
          <w:p>
            <w:pPr>
              <w:pStyle w:val="TableContents"/>
              <w:bidi w:val="0"/>
              <w:spacing w:before="0" w:after="283"/>
              <w:jc w:val="right"/>
              <w:rPr/>
            </w:pPr>
            <w:r>
              <w:rPr/>
              <w:t>558.85</w:t>
            </w:r>
          </w:p>
        </w:tc>
        <w:tc>
          <w:tcPr>
            <w:tcW w:w="316" w:type="dxa"/>
            <w:tcBorders/>
            <w:shd w:fill="FFFFFF" w:val="clear"/>
            <w:vAlign w:val="center"/>
          </w:tcPr>
          <w:p>
            <w:pPr>
              <w:pStyle w:val="TableContents"/>
              <w:bidi w:val="0"/>
              <w:spacing w:before="0" w:after="283"/>
              <w:jc w:val="left"/>
              <w:rPr/>
            </w:pPr>
            <w:r>
              <w:rPr/>
              <w:t> </w:t>
            </w:r>
          </w:p>
        </w:tc>
      </w:tr>
      <w:tr>
        <w:trPr/>
        <w:tc>
          <w:tcPr>
            <w:tcW w:w="312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Exercisable, June 30, 2024</w:t>
            </w:r>
          </w:p>
        </w:tc>
        <w:tc>
          <w:tcPr>
            <w:tcW w:w="60" w:type="dxa"/>
            <w:tcBorders/>
            <w:shd w:fill="EEEEEE" w:val="clear"/>
            <w:vAlign w:val="center"/>
          </w:tcPr>
          <w:p>
            <w:pPr>
              <w:pStyle w:val="TableContents"/>
              <w:bidi w:val="0"/>
              <w:spacing w:before="0" w:after="283"/>
              <w:jc w:val="left"/>
              <w:rPr/>
            </w:pPr>
            <w:r>
              <w:rPr/>
              <w:t> </w:t>
            </w:r>
          </w:p>
        </w:tc>
        <w:tc>
          <w:tcPr>
            <w:tcW w:w="6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283" w:name="xdx_98B_eus-gaap--ShareBasedCompensation"/>
            <w:bookmarkEnd w:id="283"/>
          </w:p>
        </w:tc>
        <w:tc>
          <w:tcPr>
            <w:tcW w:w="692" w:type="dxa"/>
            <w:tcBorders>
              <w:bottom w:val="double" w:sz="6" w:space="0" w:color="000000"/>
            </w:tcBorders>
            <w:shd w:fill="EEEEEE" w:val="clear"/>
            <w:tcMar>
              <w:bottom w:w="28" w:type="dxa"/>
            </w:tcMar>
            <w:vAlign w:val="center"/>
          </w:tcPr>
          <w:p>
            <w:pPr>
              <w:pStyle w:val="TableContents"/>
              <w:bidi w:val="0"/>
              <w:spacing w:before="0" w:after="283"/>
              <w:jc w:val="right"/>
              <w:rPr/>
            </w:pPr>
            <w:r>
              <w:rPr/>
              <w:t>2,495</w:t>
            </w:r>
          </w:p>
        </w:tc>
        <w:tc>
          <w:tcPr>
            <w:tcW w:w="62"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8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284" w:name="xdx_980_eus-gaap--ShareBasedCompensation"/>
            <w:bookmarkEnd w:id="284"/>
          </w:p>
        </w:tc>
        <w:tc>
          <w:tcPr>
            <w:tcW w:w="3616" w:type="dxa"/>
            <w:tcBorders>
              <w:bottom w:val="double" w:sz="6" w:space="0" w:color="000000"/>
            </w:tcBorders>
            <w:shd w:fill="EEEEEE" w:val="clear"/>
            <w:tcMar>
              <w:bottom w:w="28" w:type="dxa"/>
            </w:tcMar>
            <w:vAlign w:val="center"/>
          </w:tcPr>
          <w:p>
            <w:pPr>
              <w:pStyle w:val="TableContents"/>
              <w:bidi w:val="0"/>
              <w:spacing w:before="0" w:after="283"/>
              <w:jc w:val="right"/>
              <w:rPr/>
            </w:pPr>
            <w:r>
              <w:rPr/>
              <w:t>2,355.92</w:t>
            </w:r>
          </w:p>
        </w:tc>
        <w:tc>
          <w:tcPr>
            <w:tcW w:w="316"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285" w:name="xdx_230_zt1i1AxND63h"/>
      <w:bookmarkEnd w:id="285"/>
      <w:r>
        <w:rPr>
          <w:caps w:val="false"/>
          <w:smallCaps w:val="false"/>
        </w:rPr>
        <w:t> </w:t>
      </w:r>
    </w:p>
    <w:p>
      <w:pPr>
        <w:pStyle w:val="TextBody"/>
        <w:bidi w:val="0"/>
        <w:spacing w:before="0" w:after="0"/>
        <w:ind w:left="0" w:right="0" w:hanging="0"/>
        <w:jc w:val="left"/>
        <w:rPr>
          <w:caps w:val="false"/>
          <w:smallCaps w:val="false"/>
        </w:rPr>
      </w:pPr>
      <w:bookmarkStart w:id="286" w:name="xdx_235_z9JqZBJXcpgk"/>
      <w:bookmarkEnd w:id="286"/>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10</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87" w:name="xdx_23B_zybql9VATwa6"/>
      <w:bookmarkEnd w:id="287"/>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aggregate fair value of the options measured during the six months ended June 30, 2024 were calculated using the Black-Scholes option pricing model based on the following assumptions:</w:t>
      </w:r>
    </w:p>
    <w:p>
      <w:pPr>
        <w:pStyle w:val="Normal"/>
        <w:bidi w:val="0"/>
        <w:spacing w:before="0" w:after="0"/>
        <w:jc w:val="left"/>
        <w:rPr>
          <w:sz w:val="4"/>
          <w:szCs w:val="4"/>
        </w:rPr>
      </w:pPr>
      <w:r>
        <w:rPr>
          <w:sz w:val="4"/>
          <w:szCs w:val="4"/>
        </w:rPr>
      </w:r>
      <w:bookmarkStart w:id="288" w:name="xdx_893_eus-gaap--ScheduleOfShareBasedPa"/>
      <w:bookmarkStart w:id="289" w:name="xdx_893_eus-gaap--ScheduleOfShareBasedPa"/>
      <w:bookmarkEnd w:id="289"/>
    </w:p>
    <w:tbl>
      <w:tblPr>
        <w:tblW w:w="7105" w:type="dxa"/>
        <w:jc w:val="left"/>
        <w:tblInd w:w="0" w:type="dxa"/>
        <w:tblLayout w:type="fixed"/>
        <w:tblCellMar>
          <w:top w:w="0" w:type="dxa"/>
          <w:left w:w="0" w:type="dxa"/>
          <w:bottom w:w="0" w:type="dxa"/>
          <w:right w:w="0" w:type="dxa"/>
        </w:tblCellMar>
      </w:tblPr>
      <w:tblGrid>
        <w:gridCol w:w="4730"/>
        <w:gridCol w:w="60"/>
        <w:gridCol w:w="60"/>
        <w:gridCol w:w="2180"/>
        <w:gridCol w:w="75"/>
      </w:tblGrid>
      <w:tr>
        <w:trPr/>
        <w:tc>
          <w:tcPr>
            <w:tcW w:w="4730" w:type="dxa"/>
            <w:tcBorders/>
            <w:vAlign w:val="center"/>
          </w:tcPr>
          <w:p>
            <w:pPr>
              <w:pStyle w:val="TableContents"/>
              <w:bidi w:val="0"/>
              <w:spacing w:before="0" w:after="283"/>
              <w:jc w:val="left"/>
              <w:rPr/>
            </w:pPr>
            <w:bookmarkStart w:id="290" w:name="xdx_8BD_zdyeDXQg5nlj"/>
            <w:bookmarkEnd w:id="290"/>
            <w:r>
              <w:rPr/>
              <w:t>Schedule of assumptions</w:t>
            </w:r>
          </w:p>
        </w:tc>
        <w:tc>
          <w:tcPr>
            <w:tcW w:w="60" w:type="dxa"/>
            <w:tcBorders/>
            <w:vAlign w:val="center"/>
          </w:tcPr>
          <w:p>
            <w:pPr>
              <w:pStyle w:val="TableContents"/>
              <w:bidi w:val="0"/>
              <w:spacing w:before="0" w:after="283"/>
              <w:jc w:val="left"/>
              <w:rPr/>
            </w:pPr>
            <w:r>
              <w:rPr/>
              <w:t> </w:t>
            </w:r>
          </w:p>
        </w:tc>
        <w:tc>
          <w:tcPr>
            <w:tcW w:w="2240" w:type="dxa"/>
            <w:gridSpan w:val="2"/>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473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240" w:type="dxa"/>
            <w:gridSpan w:val="2"/>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Six Months Ended </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June 30, 2024</w:t>
            </w:r>
          </w:p>
        </w:tc>
        <w:tc>
          <w:tcPr>
            <w:tcW w:w="75" w:type="dxa"/>
            <w:tcBorders/>
            <w:vAlign w:val="center"/>
          </w:tcPr>
          <w:p>
            <w:pPr>
              <w:pStyle w:val="TableContents"/>
              <w:bidi w:val="0"/>
              <w:spacing w:before="0" w:after="283"/>
              <w:jc w:val="left"/>
              <w:rPr/>
            </w:pPr>
            <w:r>
              <w:rPr/>
              <w:t> </w:t>
            </w:r>
          </w:p>
        </w:tc>
      </w:tr>
      <w:tr>
        <w:trPr/>
        <w:tc>
          <w:tcPr>
            <w:tcW w:w="4730" w:type="dxa"/>
            <w:tcBorders/>
            <w:shd w:fill="EEEEEE" w:val="clear"/>
            <w:vAlign w:val="center"/>
          </w:tcPr>
          <w:p>
            <w:pPr>
              <w:pStyle w:val="TableContents"/>
              <w:bidi w:val="0"/>
              <w:spacing w:before="0" w:after="283"/>
              <w:jc w:val="both"/>
              <w:rPr/>
            </w:pPr>
            <w:r>
              <w:rPr/>
              <w:t>Fair value of common stock on measurement date</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80" w:type="dxa"/>
            <w:tcBorders/>
            <w:shd w:fill="EEEEEE" w:val="clear"/>
            <w:vAlign w:val="center"/>
          </w:tcPr>
          <w:p>
            <w:pPr>
              <w:pStyle w:val="TableContents"/>
              <w:bidi w:val="0"/>
              <w:spacing w:before="0" w:after="283"/>
              <w:jc w:val="right"/>
              <w:rPr>
                <w:rFonts w:ascii="Times New Roman;Times;Serif" w:hAnsi="Times New Roman;Times;Serif"/>
                <w:sz w:val="20"/>
              </w:rPr>
            </w:pPr>
            <w:bookmarkStart w:id="291" w:name="xdx_90D_ecustom--FairValueOfCommonStockO"/>
            <w:bookmarkEnd w:id="291"/>
            <w:r>
              <w:rPr>
                <w:rFonts w:ascii="Times New Roman;Times;Serif" w:hAnsi="Times New Roman;Times;Serif"/>
                <w:sz w:val="20"/>
              </w:rPr>
              <w:t>$12.65 to $12.93 per share</w:t>
            </w:r>
          </w:p>
        </w:tc>
        <w:tc>
          <w:tcPr>
            <w:tcW w:w="75" w:type="dxa"/>
            <w:tcBorders/>
            <w:shd w:fill="EEEEEE" w:val="clear"/>
            <w:vAlign w:val="center"/>
          </w:tcPr>
          <w:p>
            <w:pPr>
              <w:pStyle w:val="TableContents"/>
              <w:bidi w:val="0"/>
              <w:spacing w:before="0" w:after="283"/>
              <w:jc w:val="left"/>
              <w:rPr/>
            </w:pPr>
            <w:r>
              <w:rPr/>
              <w:t> </w:t>
            </w:r>
          </w:p>
        </w:tc>
      </w:tr>
      <w:tr>
        <w:trPr/>
        <w:tc>
          <w:tcPr>
            <w:tcW w:w="4730" w:type="dxa"/>
            <w:tcBorders/>
            <w:shd w:fill="FFFFFF" w:val="clear"/>
            <w:vAlign w:val="center"/>
          </w:tcPr>
          <w:p>
            <w:pPr>
              <w:pStyle w:val="TableContents"/>
              <w:bidi w:val="0"/>
              <w:spacing w:before="0" w:after="283"/>
              <w:jc w:val="both"/>
              <w:rPr/>
            </w:pPr>
            <w:r>
              <w:rPr/>
              <w:t>Risk free interest rate (1)</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80" w:type="dxa"/>
            <w:tcBorders/>
            <w:shd w:fill="FFFFFF" w:val="clear"/>
            <w:vAlign w:val="center"/>
          </w:tcPr>
          <w:p>
            <w:pPr>
              <w:pStyle w:val="TableContents"/>
              <w:bidi w:val="0"/>
              <w:spacing w:before="0" w:after="283"/>
              <w:jc w:val="right"/>
              <w:rPr>
                <w:rFonts w:ascii="Times New Roman;Times;Serif" w:hAnsi="Times New Roman;Times;Serif"/>
                <w:sz w:val="20"/>
              </w:rPr>
            </w:pPr>
            <w:bookmarkStart w:id="292" w:name="xdx_904_eus-gaap--ShareBasedCompensation"/>
            <w:bookmarkEnd w:id="292"/>
            <w:r>
              <w:rPr>
                <w:rFonts w:ascii="Times New Roman;Times;Serif" w:hAnsi="Times New Roman;Times;Serif"/>
                <w:sz w:val="20"/>
              </w:rPr>
              <w:t>3.80% to</w:t>
            </w:r>
            <w:bookmarkStart w:id="293" w:name="xdx_90F_eus-gaap--ShareBasedCompensation"/>
            <w:bookmarkEnd w:id="293"/>
            <w:r>
              <w:rPr>
                <w:rFonts w:ascii="Times New Roman;Times;Serif" w:hAnsi="Times New Roman;Times;Serif"/>
                <w:sz w:val="20"/>
              </w:rPr>
              <w:t xml:space="preserve"> 4.39%</w:t>
            </w:r>
          </w:p>
        </w:tc>
        <w:tc>
          <w:tcPr>
            <w:tcW w:w="75" w:type="dxa"/>
            <w:tcBorders/>
            <w:shd w:fill="FFFFFF" w:val="clear"/>
            <w:vAlign w:val="center"/>
          </w:tcPr>
          <w:p>
            <w:pPr>
              <w:pStyle w:val="TableContents"/>
              <w:bidi w:val="0"/>
              <w:spacing w:before="0" w:after="283"/>
              <w:jc w:val="left"/>
              <w:rPr/>
            </w:pPr>
            <w:r>
              <w:rPr/>
              <w:t> </w:t>
            </w:r>
          </w:p>
        </w:tc>
      </w:tr>
      <w:tr>
        <w:trPr/>
        <w:tc>
          <w:tcPr>
            <w:tcW w:w="4730" w:type="dxa"/>
            <w:tcBorders/>
            <w:shd w:fill="EEEEEE" w:val="clear"/>
            <w:vAlign w:val="center"/>
          </w:tcPr>
          <w:p>
            <w:pPr>
              <w:pStyle w:val="TableContents"/>
              <w:bidi w:val="0"/>
              <w:spacing w:before="0" w:after="283"/>
              <w:jc w:val="both"/>
              <w:rPr/>
            </w:pPr>
            <w:r>
              <w:rPr/>
              <w:t>Volatility (2)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80" w:type="dxa"/>
            <w:tcBorders/>
            <w:shd w:fill="EEEEEE" w:val="clear"/>
            <w:vAlign w:val="center"/>
          </w:tcPr>
          <w:p>
            <w:pPr>
              <w:pStyle w:val="TableContents"/>
              <w:bidi w:val="0"/>
              <w:spacing w:before="0" w:after="283"/>
              <w:jc w:val="right"/>
              <w:rPr>
                <w:rFonts w:ascii="Times New Roman;Times;Serif" w:hAnsi="Times New Roman;Times;Serif"/>
                <w:sz w:val="20"/>
              </w:rPr>
            </w:pPr>
            <w:bookmarkStart w:id="294" w:name="xdx_90D_eus-gaap--ShareBasedCompensation"/>
            <w:bookmarkEnd w:id="294"/>
            <w:r>
              <w:rPr>
                <w:rFonts w:ascii="Times New Roman;Times;Serif" w:hAnsi="Times New Roman;Times;Serif"/>
                <w:sz w:val="20"/>
              </w:rPr>
              <w:t xml:space="preserve">102.25% to </w:t>
            </w:r>
            <w:bookmarkStart w:id="295" w:name="xdx_907_eus-gaap--ShareBasedCompensation"/>
            <w:bookmarkEnd w:id="295"/>
            <w:r>
              <w:rPr>
                <w:rFonts w:ascii="Times New Roman;Times;Serif" w:hAnsi="Times New Roman;Times;Serif"/>
                <w:sz w:val="20"/>
              </w:rPr>
              <w:t>118.36%</w:t>
            </w:r>
          </w:p>
        </w:tc>
        <w:tc>
          <w:tcPr>
            <w:tcW w:w="75" w:type="dxa"/>
            <w:tcBorders/>
            <w:shd w:fill="EEEEEE" w:val="clear"/>
            <w:vAlign w:val="center"/>
          </w:tcPr>
          <w:p>
            <w:pPr>
              <w:pStyle w:val="TableContents"/>
              <w:bidi w:val="0"/>
              <w:spacing w:before="0" w:after="283"/>
              <w:jc w:val="left"/>
              <w:rPr/>
            </w:pPr>
            <w:r>
              <w:rPr/>
              <w:t> </w:t>
            </w:r>
          </w:p>
        </w:tc>
      </w:tr>
      <w:tr>
        <w:trPr/>
        <w:tc>
          <w:tcPr>
            <w:tcW w:w="4730" w:type="dxa"/>
            <w:tcBorders/>
            <w:shd w:fill="FFFFFF" w:val="clear"/>
            <w:vAlign w:val="center"/>
          </w:tcPr>
          <w:p>
            <w:pPr>
              <w:pStyle w:val="TableContents"/>
              <w:bidi w:val="0"/>
              <w:spacing w:before="0" w:after="283"/>
              <w:jc w:val="both"/>
              <w:rPr/>
            </w:pPr>
            <w:r>
              <w:rPr/>
              <w:t>Dividend yield (3)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80" w:type="dxa"/>
            <w:tcBorders/>
            <w:shd w:fill="FFFFFF" w:val="clear"/>
            <w:vAlign w:val="center"/>
          </w:tcPr>
          <w:p>
            <w:pPr>
              <w:pStyle w:val="TableContents"/>
              <w:bidi w:val="0"/>
              <w:spacing w:before="0" w:after="283"/>
              <w:jc w:val="right"/>
              <w:rPr/>
            </w:pPr>
            <w:bookmarkStart w:id="296" w:name="xdx_901_eus-gaap--ShareBasedCompensation"/>
            <w:bookmarkEnd w:id="296"/>
            <w:r>
              <w:rPr/>
              <w:t>0%</w:t>
            </w:r>
          </w:p>
        </w:tc>
        <w:tc>
          <w:tcPr>
            <w:tcW w:w="75" w:type="dxa"/>
            <w:tcBorders/>
            <w:shd w:fill="FFFFFF" w:val="clear"/>
            <w:vAlign w:val="center"/>
          </w:tcPr>
          <w:p>
            <w:pPr>
              <w:pStyle w:val="TableContents"/>
              <w:bidi w:val="0"/>
              <w:spacing w:before="0" w:after="283"/>
              <w:jc w:val="left"/>
              <w:rPr/>
            </w:pPr>
            <w:r>
              <w:rPr/>
              <w:t> </w:t>
            </w:r>
          </w:p>
        </w:tc>
      </w:tr>
      <w:tr>
        <w:trPr/>
        <w:tc>
          <w:tcPr>
            <w:tcW w:w="4730" w:type="dxa"/>
            <w:tcBorders/>
            <w:shd w:fill="EEEEEE" w:val="clear"/>
            <w:vAlign w:val="center"/>
          </w:tcPr>
          <w:p>
            <w:pPr>
              <w:pStyle w:val="TableContents"/>
              <w:bidi w:val="0"/>
              <w:spacing w:before="0" w:after="283"/>
              <w:jc w:val="both"/>
              <w:rPr/>
            </w:pPr>
            <w:r>
              <w:rPr/>
              <w:t>Expected term (in years)</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80" w:type="dxa"/>
            <w:tcBorders/>
            <w:shd w:fill="EEEEEE" w:val="clear"/>
            <w:vAlign w:val="center"/>
          </w:tcPr>
          <w:p>
            <w:pPr>
              <w:pStyle w:val="TableContents"/>
              <w:bidi w:val="0"/>
              <w:spacing w:before="0" w:after="283"/>
              <w:jc w:val="right"/>
              <w:rPr>
                <w:rFonts w:ascii="Times New Roman;Times;Serif" w:hAnsi="Times New Roman;Times;Serif"/>
                <w:sz w:val="20"/>
              </w:rPr>
            </w:pPr>
            <w:bookmarkStart w:id="297" w:name="xdx_90D_eus-gaap--SharebasedCompensation"/>
            <w:bookmarkEnd w:id="297"/>
            <w:r>
              <w:rPr>
                <w:rFonts w:ascii="Times New Roman;Times;Serif" w:hAnsi="Times New Roman;Times;Serif"/>
                <w:sz w:val="20"/>
              </w:rPr>
              <w:t xml:space="preserve">5.5 to </w:t>
            </w:r>
            <w:bookmarkStart w:id="298" w:name="xdx_903_eus-gaap--SharebasedCompensation"/>
            <w:bookmarkEnd w:id="298"/>
            <w:r>
              <w:rPr>
                <w:rFonts w:ascii="Times New Roman;Times;Serif" w:hAnsi="Times New Roman;Times;Serif"/>
                <w:sz w:val="20"/>
              </w:rPr>
              <w:t>6.5</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245"/>
        <w:gridCol w:w="9960"/>
      </w:tblGrid>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299" w:name="xdx_F09_zha4ZBDy7SX8"/>
            <w:bookmarkEnd w:id="299"/>
            <w:r>
              <w:rPr>
                <w:rFonts w:ascii="Times New Roman;Times;Serif" w:hAnsi="Times New Roman;Times;Serif"/>
                <w:sz w:val="20"/>
              </w:rPr>
              <w:t>(1)</w:t>
            </w:r>
          </w:p>
        </w:tc>
        <w:tc>
          <w:tcPr>
            <w:tcW w:w="9960" w:type="dxa"/>
            <w:tcBorders/>
            <w:vAlign w:val="center"/>
          </w:tcPr>
          <w:p>
            <w:pPr>
              <w:pStyle w:val="TableContents"/>
              <w:bidi w:val="0"/>
              <w:spacing w:before="0" w:after="283"/>
              <w:jc w:val="left"/>
              <w:rPr>
                <w:rFonts w:ascii="Times New Roman;Times;Serif" w:hAnsi="Times New Roman;Times;Serif"/>
                <w:sz w:val="20"/>
              </w:rPr>
            </w:pPr>
            <w:bookmarkStart w:id="300" w:name="xdx_F1B_zbp6C4iHugy9"/>
            <w:bookmarkEnd w:id="300"/>
            <w:r>
              <w:rPr>
                <w:rFonts w:ascii="Times New Roman;Times;Serif" w:hAnsi="Times New Roman;Times;Serif"/>
                <w:sz w:val="20"/>
              </w:rPr>
              <w:t>The risk-free interest rate was determined by management using the market yield on U.S. Treasury securities with comparable terms as of the measurement date.</w:t>
            </w:r>
          </w:p>
        </w:tc>
      </w:tr>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301" w:name="xdx_F09_zdTaD8ea6x1e"/>
            <w:bookmarkEnd w:id="301"/>
            <w:r>
              <w:rPr>
                <w:rFonts w:ascii="Times New Roman;Times;Serif" w:hAnsi="Times New Roman;Times;Serif"/>
                <w:sz w:val="20"/>
              </w:rPr>
              <w:t>(2)</w:t>
            </w:r>
          </w:p>
        </w:tc>
        <w:tc>
          <w:tcPr>
            <w:tcW w:w="9960" w:type="dxa"/>
            <w:tcBorders/>
            <w:vAlign w:val="center"/>
          </w:tcPr>
          <w:p>
            <w:pPr>
              <w:pStyle w:val="TableContents"/>
              <w:bidi w:val="0"/>
              <w:spacing w:before="0" w:after="283"/>
              <w:jc w:val="both"/>
              <w:rPr>
                <w:rFonts w:ascii="Times New Roman;Times;Serif" w:hAnsi="Times New Roman;Times;Serif"/>
                <w:sz w:val="20"/>
              </w:rPr>
            </w:pPr>
            <w:bookmarkStart w:id="302" w:name="xdx_F1C_zXo0s7ibWFrb"/>
            <w:bookmarkEnd w:id="302"/>
            <w:r>
              <w:rPr>
                <w:rFonts w:ascii="Times New Roman;Times;Serif" w:hAnsi="Times New Roman;Times;Serif"/>
                <w:sz w:val="20"/>
              </w:rPr>
              <w:t>The trading volatility was determined by calculating the volatility of the Company's peer group.</w:t>
            </w:r>
          </w:p>
        </w:tc>
      </w:tr>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303" w:name="xdx_F05_zo58HKa0WH0i"/>
            <w:bookmarkEnd w:id="303"/>
            <w:r>
              <w:rPr>
                <w:rFonts w:ascii="Times New Roman;Times;Serif" w:hAnsi="Times New Roman;Times;Serif"/>
                <w:sz w:val="20"/>
              </w:rPr>
              <w:t>(3)</w:t>
            </w:r>
          </w:p>
        </w:tc>
        <w:tc>
          <w:tcPr>
            <w:tcW w:w="9960" w:type="dxa"/>
            <w:tcBorders/>
            <w:vAlign w:val="center"/>
          </w:tcPr>
          <w:p>
            <w:pPr>
              <w:pStyle w:val="TableContents"/>
              <w:bidi w:val="0"/>
              <w:spacing w:before="0" w:after="283"/>
              <w:jc w:val="both"/>
              <w:rPr>
                <w:rFonts w:ascii="Times New Roman;Times;Serif" w:hAnsi="Times New Roman;Times;Serif"/>
                <w:sz w:val="20"/>
              </w:rPr>
            </w:pPr>
            <w:bookmarkStart w:id="304" w:name="xdx_F19_z5xwbwsjxDQk"/>
            <w:bookmarkEnd w:id="304"/>
            <w:r>
              <w:rPr>
                <w:rFonts w:ascii="Times New Roman;Times;Serif" w:hAnsi="Times New Roman;Times;Serif"/>
                <w:sz w:val="20"/>
              </w:rPr>
              <w:t>The Company does not expect to pay a dividend in the foreseeable future.</w:t>
            </w:r>
          </w:p>
        </w:tc>
      </w:tr>
    </w:tbl>
    <w:p>
      <w:pPr>
        <w:pStyle w:val="TextBody"/>
        <w:bidi w:val="0"/>
        <w:spacing w:before="0" w:after="0"/>
        <w:ind w:left="0" w:right="0" w:hanging="0"/>
        <w:jc w:val="left"/>
        <w:rPr>
          <w:caps w:val="false"/>
          <w:smallCaps w:val="false"/>
        </w:rPr>
      </w:pPr>
      <w:bookmarkStart w:id="305" w:name="xdx_8A6_zmo9MaTIXyaa"/>
      <w:bookmarkEnd w:id="305"/>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As of June 30, 2024, the outstanding stock options have a weighted average remaining term of </w:t>
      </w:r>
      <w:bookmarkStart w:id="306" w:name="xdx_90E_eus-gaap--SharebasedCompensation"/>
      <w:bookmarkEnd w:id="306"/>
      <w:r>
        <w:rPr>
          <w:rFonts w:ascii="Times New Roman;Times;Serif" w:hAnsi="Times New Roman;Times;Serif"/>
          <w:b w:val="false"/>
          <w:i w:val="false"/>
          <w:caps w:val="false"/>
          <w:smallCaps w:val="false"/>
          <w:sz w:val="20"/>
        </w:rPr>
        <w:t xml:space="preserve">8.83 years and </w:t>
      </w:r>
      <w:bookmarkStart w:id="307" w:name="xdx_901_eus-gaap--ShareBasedCompensation"/>
      <w:bookmarkEnd w:id="307"/>
      <w:r>
        <w:rPr>
          <w:rFonts w:ascii="Times New Roman;Times;Serif" w:hAnsi="Times New Roman;Times;Serif"/>
          <w:b w:val="false"/>
          <w:i w:val="false"/>
          <w:caps w:val="false"/>
          <w:smallCaps w:val="false"/>
          <w:sz w:val="20"/>
        </w:rPr>
        <w:t xml:space="preserve">no aggregate intrinsic value. As of June 30, 2024, there were </w:t>
      </w:r>
      <w:bookmarkStart w:id="308" w:name="xdx_905_eus-gaap--ShareBasedCompensation"/>
      <w:bookmarkEnd w:id="308"/>
      <w:r>
        <w:rPr>
          <w:rFonts w:ascii="Times New Roman;Times;Serif" w:hAnsi="Times New Roman;Times;Serif"/>
          <w:b w:val="false"/>
          <w:i w:val="false"/>
          <w:caps w:val="false"/>
          <w:smallCaps w:val="false"/>
          <w:sz w:val="20"/>
        </w:rPr>
        <w:t xml:space="preserve">no awards remaining to be issued under the 2017 Plan and </w:t>
      </w:r>
      <w:bookmarkStart w:id="309" w:name="xdx_900_eus-gaap--ShareBasedCompensation"/>
      <w:bookmarkEnd w:id="309"/>
      <w:r>
        <w:rPr>
          <w:rFonts w:ascii="Times New Roman;Times;Serif" w:hAnsi="Times New Roman;Times;Serif"/>
          <w:b w:val="false"/>
          <w:i w:val="false"/>
          <w:caps w:val="false"/>
          <w:smallCaps w:val="false"/>
          <w:sz w:val="20"/>
        </w:rPr>
        <w:t>69,973 awards remaining to be issued under the 2020 Plan.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Stock Warrants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January 29, 2024, the Company entered into a warrant amendment agreement (the “Warrant Amendment”) pursuant to which the </w:t>
      </w:r>
      <w:bookmarkStart w:id="310" w:name="xdx_90F_ecustom--WarrantAmendmentAgreeme"/>
      <w:bookmarkEnd w:id="310"/>
      <w:r>
        <w:rPr>
          <w:rFonts w:ascii="Times New Roman;Times;Serif" w:hAnsi="Times New Roman;Times;Serif"/>
          <w:b w:val="false"/>
          <w:i w:val="false"/>
          <w:caps w:val="false"/>
          <w:smallCaps w:val="false"/>
          <w:sz w:val="20"/>
        </w:rPr>
        <w:t>Company agreed, subject to shareholder approval (which was received on April 30, 2024), to amend certain existing warrants to purchase up to an aggregate of 75,120 shares of Common Stock at an exercise price of $64.00 per share and a termination date of October 16, 2028, so that the amended warrants will have a reduced exercise price of $15.00 per share and a new termination date of February 1, 2029.</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six months ended June 30, 2024, the Company received $</w:t>
      </w:r>
      <w:bookmarkStart w:id="311" w:name="xdx_908_eus-gaap--ProceedsFromWarrantExe"/>
      <w:bookmarkEnd w:id="311"/>
      <w:r>
        <w:rPr>
          <w:rFonts w:ascii="Times New Roman;Times;Serif" w:hAnsi="Times New Roman;Times;Serif"/>
          <w:b w:val="false"/>
          <w:i w:val="false"/>
          <w:caps w:val="false"/>
          <w:smallCaps w:val="false"/>
          <w:sz w:val="20"/>
        </w:rPr>
        <w:t xml:space="preserve">21,326 in cash proceeds from the exercise of </w:t>
      </w:r>
      <w:bookmarkStart w:id="312" w:name="xdx_903_ecustom--WarrantsExercised_c2024"/>
      <w:bookmarkEnd w:id="312"/>
      <w:r>
        <w:rPr>
          <w:rFonts w:ascii="Times New Roman;Times;Serif" w:hAnsi="Times New Roman;Times;Serif"/>
          <w:b w:val="false"/>
          <w:i w:val="false"/>
          <w:caps w:val="false"/>
          <w:smallCaps w:val="false"/>
          <w:sz w:val="20"/>
        </w:rPr>
        <w:t>253,034 warrants previously issued at an exercise price range of $0.001 to $15.00.</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stock warrant activity for the six months ended June 30, 2024:</w:t>
      </w:r>
    </w:p>
    <w:p>
      <w:pPr>
        <w:pStyle w:val="Normal"/>
        <w:bidi w:val="0"/>
        <w:spacing w:before="0" w:after="0"/>
        <w:jc w:val="left"/>
        <w:rPr>
          <w:sz w:val="4"/>
          <w:szCs w:val="4"/>
        </w:rPr>
      </w:pPr>
      <w:r>
        <w:rPr>
          <w:sz w:val="4"/>
          <w:szCs w:val="4"/>
        </w:rPr>
      </w:r>
      <w:bookmarkStart w:id="313" w:name="xdx_884_eus-gaap--ScheduleOfStockholders"/>
      <w:bookmarkStart w:id="314" w:name="xdx_884_eus-gaap--ScheduleOfStockholders"/>
      <w:bookmarkEnd w:id="314"/>
    </w:p>
    <w:tbl>
      <w:tblPr>
        <w:tblW w:w="9019" w:type="dxa"/>
        <w:jc w:val="left"/>
        <w:tblInd w:w="0" w:type="dxa"/>
        <w:tblLayout w:type="fixed"/>
        <w:tblCellMar>
          <w:top w:w="0" w:type="dxa"/>
          <w:left w:w="0" w:type="dxa"/>
          <w:bottom w:w="0" w:type="dxa"/>
          <w:right w:w="0" w:type="dxa"/>
        </w:tblCellMar>
      </w:tblPr>
      <w:tblGrid>
        <w:gridCol w:w="3245"/>
        <w:gridCol w:w="60"/>
        <w:gridCol w:w="60"/>
        <w:gridCol w:w="980"/>
        <w:gridCol w:w="95"/>
        <w:gridCol w:w="60"/>
        <w:gridCol w:w="587"/>
        <w:gridCol w:w="3616"/>
        <w:gridCol w:w="316"/>
      </w:tblGrid>
      <w:tr>
        <w:trPr/>
        <w:tc>
          <w:tcPr>
            <w:tcW w:w="3245" w:type="dxa"/>
            <w:tcBorders/>
            <w:vAlign w:val="center"/>
          </w:tcPr>
          <w:p>
            <w:pPr>
              <w:pStyle w:val="TableContents"/>
              <w:bidi w:val="0"/>
              <w:spacing w:before="0" w:after="283"/>
              <w:jc w:val="left"/>
              <w:rPr/>
            </w:pPr>
            <w:bookmarkStart w:id="315" w:name="xdx_8B8_zEC1sZ7yoRUl"/>
            <w:bookmarkEnd w:id="315"/>
            <w:r>
              <w:rPr/>
              <w:t>Schedule of stock warrant activity</w:t>
            </w:r>
          </w:p>
        </w:tc>
        <w:tc>
          <w:tcPr>
            <w:tcW w:w="60" w:type="dxa"/>
            <w:tcBorders/>
            <w:vAlign w:val="center"/>
          </w:tcPr>
          <w:p>
            <w:pPr>
              <w:pStyle w:val="TableContents"/>
              <w:bidi w:val="0"/>
              <w:spacing w:before="0" w:after="283"/>
              <w:jc w:val="left"/>
              <w:rPr/>
            </w:pPr>
            <w:r>
              <w:rPr/>
              <w:t> </w:t>
            </w:r>
          </w:p>
        </w:tc>
        <w:tc>
          <w:tcPr>
            <w:tcW w:w="1135" w:type="dxa"/>
            <w:gridSpan w:val="3"/>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4519" w:type="dxa"/>
            <w:gridSpan w:val="3"/>
            <w:tcBorders/>
            <w:vAlign w:val="center"/>
          </w:tcPr>
          <w:p>
            <w:pPr>
              <w:pStyle w:val="TableContents"/>
              <w:bidi w:val="0"/>
              <w:spacing w:before="0" w:after="283"/>
              <w:jc w:val="right"/>
              <w:rPr/>
            </w:pPr>
            <w:r>
              <w:rPr/>
              <w:t> </w:t>
            </w:r>
          </w:p>
        </w:tc>
      </w:tr>
      <w:tr>
        <w:trPr/>
        <w:tc>
          <w:tcPr>
            <w:tcW w:w="32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35" w:type="dxa"/>
            <w:gridSpan w:val="3"/>
            <w:tcBorders>
              <w:bottom w:val="single" w:sz="8" w:space="0" w:color="000000"/>
            </w:tcBorders>
            <w:tcMar>
              <w:bottom w:w="28" w:type="dxa"/>
            </w:tcMar>
            <w:vAlign w:val="center"/>
          </w:tcPr>
          <w:p>
            <w:pPr>
              <w:pStyle w:val="TableContents"/>
              <w:bidi w:val="0"/>
              <w:spacing w:before="0" w:after="283"/>
              <w:jc w:val="center"/>
              <w:rPr>
                <w:b/>
              </w:rPr>
            </w:pPr>
            <w:r>
              <w:rPr>
                <w:b/>
              </w:rPr>
              <w:t>Warrants</w:t>
            </w:r>
          </w:p>
        </w:tc>
        <w:tc>
          <w:tcPr>
            <w:tcW w:w="60" w:type="dxa"/>
            <w:tcBorders/>
            <w:vAlign w:val="center"/>
          </w:tcPr>
          <w:p>
            <w:pPr>
              <w:pStyle w:val="TableContents"/>
              <w:bidi w:val="0"/>
              <w:spacing w:before="0" w:after="283"/>
              <w:jc w:val="left"/>
              <w:rPr/>
            </w:pPr>
            <w:r>
              <w:rPr/>
              <w:t> </w:t>
            </w:r>
          </w:p>
        </w:tc>
        <w:tc>
          <w:tcPr>
            <w:tcW w:w="4519" w:type="dxa"/>
            <w:gridSpan w:val="3"/>
            <w:tcBorders>
              <w:bottom w:val="single" w:sz="8" w:space="0" w:color="000000"/>
            </w:tcBorders>
            <w:tcMar>
              <w:bottom w:w="28" w:type="dxa"/>
            </w:tcMar>
            <w:vAlign w:val="center"/>
          </w:tcPr>
          <w:p>
            <w:pPr>
              <w:pStyle w:val="TableContents"/>
              <w:bidi w:val="0"/>
              <w:spacing w:before="0" w:after="283"/>
              <w:jc w:val="center"/>
              <w:rPr>
                <w:b/>
              </w:rPr>
            </w:pPr>
            <w:r>
              <w:rPr>
                <w:b/>
              </w:rPr>
              <w:t>Weighted-Average Exercise Price Per Share</w:t>
            </w:r>
          </w:p>
        </w:tc>
      </w:tr>
      <w:tr>
        <w:trPr/>
        <w:tc>
          <w:tcPr>
            <w:tcW w:w="324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Outstanding,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316" w:name="xdx_981_eus-gaap--ClassOfWarrantOrRightO"/>
            <w:bookmarkEnd w:id="316"/>
          </w:p>
        </w:tc>
        <w:tc>
          <w:tcPr>
            <w:tcW w:w="980" w:type="dxa"/>
            <w:tcBorders/>
            <w:shd w:fill="EEEEEE" w:val="clear"/>
            <w:vAlign w:val="center"/>
          </w:tcPr>
          <w:p>
            <w:pPr>
              <w:pStyle w:val="TableContents"/>
              <w:bidi w:val="0"/>
              <w:spacing w:before="0" w:after="283"/>
              <w:jc w:val="right"/>
              <w:rPr/>
            </w:pPr>
            <w:r>
              <w:rPr/>
              <w:t>84,832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87" w:type="dxa"/>
            <w:tcBorders/>
            <w:shd w:fill="EEEEEE" w:val="clear"/>
            <w:vAlign w:val="center"/>
          </w:tcPr>
          <w:p>
            <w:pPr>
              <w:pStyle w:val="TableContents"/>
              <w:bidi w:val="0"/>
              <w:spacing w:before="0" w:after="283"/>
              <w:jc w:val="left"/>
              <w:rPr/>
            </w:pPr>
            <w:r>
              <w:rPr/>
              <w:t>$</w:t>
            </w:r>
            <w:bookmarkStart w:id="317" w:name="xdx_98B_eus-gaap--ClassOfWarrantOrRightE"/>
            <w:bookmarkEnd w:id="317"/>
          </w:p>
        </w:tc>
        <w:tc>
          <w:tcPr>
            <w:tcW w:w="3616" w:type="dxa"/>
            <w:tcBorders/>
            <w:shd w:fill="EEEEEE" w:val="clear"/>
            <w:vAlign w:val="center"/>
          </w:tcPr>
          <w:p>
            <w:pPr>
              <w:pStyle w:val="TableContents"/>
              <w:bidi w:val="0"/>
              <w:spacing w:before="0" w:after="283"/>
              <w:jc w:val="right"/>
              <w:rPr/>
            </w:pPr>
            <w:r>
              <w:rPr/>
              <w:t>151.65</w:t>
            </w:r>
          </w:p>
        </w:tc>
        <w:tc>
          <w:tcPr>
            <w:tcW w:w="316" w:type="dxa"/>
            <w:tcBorders/>
            <w:shd w:fill="EEEEEE" w:val="clear"/>
            <w:vAlign w:val="center"/>
          </w:tcPr>
          <w:p>
            <w:pPr>
              <w:pStyle w:val="TableContents"/>
              <w:bidi w:val="0"/>
              <w:spacing w:before="0" w:after="283"/>
              <w:jc w:val="left"/>
              <w:rPr/>
            </w:pPr>
            <w:r>
              <w:rPr/>
              <w:t> </w:t>
            </w:r>
          </w:p>
        </w:tc>
      </w:tr>
      <w:tr>
        <w:trPr/>
        <w:tc>
          <w:tcPr>
            <w:tcW w:w="324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Granted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318" w:name="xdx_98A_eus-gaap--ShareBasedCompensation"/>
            <w:bookmarkEnd w:id="318"/>
          </w:p>
        </w:tc>
        <w:tc>
          <w:tcPr>
            <w:tcW w:w="980" w:type="dxa"/>
            <w:tcBorders/>
            <w:shd w:fill="FFFFFF" w:val="clear"/>
            <w:vAlign w:val="center"/>
          </w:tcPr>
          <w:p>
            <w:pPr>
              <w:pStyle w:val="TableContents"/>
              <w:bidi w:val="0"/>
              <w:spacing w:before="0" w:after="283"/>
              <w:jc w:val="right"/>
              <w:rPr/>
            </w:pPr>
            <w:r>
              <w:rPr/>
              <w:t>1,719,694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87" w:type="dxa"/>
            <w:tcBorders/>
            <w:shd w:fill="FFFFFF" w:val="clear"/>
            <w:vAlign w:val="center"/>
          </w:tcPr>
          <w:p>
            <w:pPr>
              <w:pStyle w:val="TableContents"/>
              <w:bidi w:val="0"/>
              <w:spacing w:before="0" w:after="283"/>
              <w:jc w:val="left"/>
              <w:rPr/>
            </w:pPr>
            <w:r>
              <w:rPr/>
              <w:t> </w:t>
            </w:r>
            <w:bookmarkStart w:id="319" w:name="xdx_987_eus-gaap--ShareBasedCompensation"/>
            <w:bookmarkEnd w:id="319"/>
          </w:p>
        </w:tc>
        <w:tc>
          <w:tcPr>
            <w:tcW w:w="3616" w:type="dxa"/>
            <w:tcBorders/>
            <w:shd w:fill="FFFFFF" w:val="clear"/>
            <w:vAlign w:val="center"/>
          </w:tcPr>
          <w:p>
            <w:pPr>
              <w:pStyle w:val="TableContents"/>
              <w:bidi w:val="0"/>
              <w:spacing w:before="0" w:after="283"/>
              <w:jc w:val="right"/>
              <w:rPr/>
            </w:pPr>
            <w:r>
              <w:rPr/>
              <w:t>8.12</w:t>
            </w:r>
          </w:p>
        </w:tc>
        <w:tc>
          <w:tcPr>
            <w:tcW w:w="316" w:type="dxa"/>
            <w:tcBorders/>
            <w:shd w:fill="FFFFFF" w:val="clear"/>
            <w:vAlign w:val="center"/>
          </w:tcPr>
          <w:p>
            <w:pPr>
              <w:pStyle w:val="TableContents"/>
              <w:bidi w:val="0"/>
              <w:spacing w:before="0" w:after="283"/>
              <w:jc w:val="left"/>
              <w:rPr/>
            </w:pPr>
            <w:r>
              <w:rPr/>
              <w:t> </w:t>
            </w:r>
          </w:p>
        </w:tc>
      </w:tr>
      <w:tr>
        <w:trPr/>
        <w:tc>
          <w:tcPr>
            <w:tcW w:w="324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Exercised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320" w:name="xdx_981_eus-gaap--ShareBasedCompensation"/>
            <w:bookmarkEnd w:id="320"/>
          </w:p>
        </w:tc>
        <w:tc>
          <w:tcPr>
            <w:tcW w:w="980" w:type="dxa"/>
            <w:tcBorders/>
            <w:shd w:fill="EEEEEE" w:val="clear"/>
            <w:vAlign w:val="center"/>
          </w:tcPr>
          <w:p>
            <w:pPr>
              <w:pStyle w:val="TableContents"/>
              <w:bidi w:val="0"/>
              <w:spacing w:before="0" w:after="283"/>
              <w:jc w:val="right"/>
              <w:rPr/>
            </w:pPr>
            <w:r>
              <w:rPr/>
              <w:t>(253,034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587" w:type="dxa"/>
            <w:tcBorders/>
            <w:shd w:fill="EEEEEE" w:val="clear"/>
            <w:vAlign w:val="center"/>
          </w:tcPr>
          <w:p>
            <w:pPr>
              <w:pStyle w:val="TableContents"/>
              <w:bidi w:val="0"/>
              <w:spacing w:before="0" w:after="283"/>
              <w:jc w:val="left"/>
              <w:rPr/>
            </w:pPr>
            <w:r>
              <w:rPr/>
              <w:t> </w:t>
            </w:r>
            <w:bookmarkStart w:id="321" w:name="xdx_981_ecustom--ShareBasedCompensationA"/>
            <w:bookmarkEnd w:id="321"/>
          </w:p>
        </w:tc>
        <w:tc>
          <w:tcPr>
            <w:tcW w:w="3616" w:type="dxa"/>
            <w:tcBorders/>
            <w:shd w:fill="EEEEEE" w:val="clear"/>
            <w:vAlign w:val="center"/>
          </w:tcPr>
          <w:p>
            <w:pPr>
              <w:pStyle w:val="TableContents"/>
              <w:bidi w:val="0"/>
              <w:spacing w:before="0" w:after="283"/>
              <w:jc w:val="right"/>
              <w:rPr/>
            </w:pPr>
            <w:r>
              <w:rPr/>
              <w:t>13.18</w:t>
            </w:r>
          </w:p>
        </w:tc>
        <w:tc>
          <w:tcPr>
            <w:tcW w:w="316" w:type="dxa"/>
            <w:tcBorders/>
            <w:shd w:fill="EEEEEE" w:val="clear"/>
            <w:vAlign w:val="center"/>
          </w:tcPr>
          <w:p>
            <w:pPr>
              <w:pStyle w:val="TableContents"/>
              <w:bidi w:val="0"/>
              <w:spacing w:before="0" w:after="283"/>
              <w:jc w:val="left"/>
              <w:rPr/>
            </w:pPr>
            <w:r>
              <w:rPr/>
              <w:t> </w:t>
            </w:r>
          </w:p>
        </w:tc>
      </w:tr>
      <w:tr>
        <w:trPr/>
        <w:tc>
          <w:tcPr>
            <w:tcW w:w="324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Forfeited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322" w:name="xdx_988_eus-gaap--ShareBasedCompensation"/>
            <w:bookmarkEnd w:id="322"/>
          </w:p>
        </w:tc>
        <w:tc>
          <w:tcPr>
            <w:tcW w:w="980"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87" w:type="dxa"/>
            <w:tcBorders/>
            <w:shd w:fill="FFFFFF" w:val="clear"/>
            <w:vAlign w:val="center"/>
          </w:tcPr>
          <w:p>
            <w:pPr>
              <w:pStyle w:val="TableContents"/>
              <w:bidi w:val="0"/>
              <w:spacing w:before="0" w:after="283"/>
              <w:jc w:val="left"/>
              <w:rPr/>
            </w:pPr>
            <w:r>
              <w:rPr/>
              <w:t> </w:t>
            </w:r>
            <w:bookmarkStart w:id="323" w:name="xdx_98C_ecustom--ShareBasedCompensationA"/>
            <w:bookmarkEnd w:id="323"/>
          </w:p>
        </w:tc>
        <w:tc>
          <w:tcPr>
            <w:tcW w:w="3616" w:type="dxa"/>
            <w:tcBorders/>
            <w:shd w:fill="FFFFFF" w:val="clear"/>
            <w:vAlign w:val="center"/>
          </w:tcPr>
          <w:p>
            <w:pPr>
              <w:pStyle w:val="TableContents"/>
              <w:bidi w:val="0"/>
              <w:spacing w:before="0" w:after="283"/>
              <w:jc w:val="right"/>
              <w:rPr/>
            </w:pPr>
            <w:r>
              <w:rPr/>
              <w:t>–</w:t>
            </w:r>
          </w:p>
        </w:tc>
        <w:tc>
          <w:tcPr>
            <w:tcW w:w="316" w:type="dxa"/>
            <w:tcBorders/>
            <w:shd w:fill="FFFFFF" w:val="clear"/>
            <w:vAlign w:val="center"/>
          </w:tcPr>
          <w:p>
            <w:pPr>
              <w:pStyle w:val="TableContents"/>
              <w:bidi w:val="0"/>
              <w:spacing w:before="0" w:after="283"/>
              <w:jc w:val="left"/>
              <w:rPr/>
            </w:pPr>
            <w:r>
              <w:rPr/>
              <w:t> </w:t>
            </w:r>
          </w:p>
        </w:tc>
      </w:tr>
      <w:tr>
        <w:trPr/>
        <w:tc>
          <w:tcPr>
            <w:tcW w:w="324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Expired</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324" w:name="xdx_985_eus-gaap--ShareBasedCompensation"/>
            <w:bookmarkEnd w:id="324"/>
          </w:p>
        </w:tc>
        <w:tc>
          <w:tcPr>
            <w:tcW w:w="980" w:type="dxa"/>
            <w:tcBorders>
              <w:bottom w:val="single" w:sz="8" w:space="0" w:color="000000"/>
            </w:tcBorders>
            <w:shd w:fill="EEEEEE" w:val="clear"/>
            <w:tcMar>
              <w:bottom w:w="28" w:type="dxa"/>
            </w:tcMar>
            <w:vAlign w:val="center"/>
          </w:tcPr>
          <w:p>
            <w:pPr>
              <w:pStyle w:val="TableContents"/>
              <w:bidi w:val="0"/>
              <w:spacing w:before="0" w:after="283"/>
              <w:jc w:val="right"/>
              <w:rPr/>
            </w:pPr>
            <w:r>
              <w:rPr/>
              <w:t>(70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58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325" w:name="xdx_988_ecustom--ShareBasedCompensationA"/>
            <w:bookmarkEnd w:id="325"/>
          </w:p>
        </w:tc>
        <w:tc>
          <w:tcPr>
            <w:tcW w:w="3616" w:type="dxa"/>
            <w:tcBorders>
              <w:bottom w:val="single" w:sz="8" w:space="0" w:color="000000"/>
            </w:tcBorders>
            <w:shd w:fill="EEEEEE" w:val="clear"/>
            <w:tcMar>
              <w:bottom w:w="28" w:type="dxa"/>
            </w:tcMar>
            <w:vAlign w:val="center"/>
          </w:tcPr>
          <w:p>
            <w:pPr>
              <w:pStyle w:val="TableContents"/>
              <w:bidi w:val="0"/>
              <w:spacing w:before="0" w:after="283"/>
              <w:jc w:val="right"/>
              <w:rPr/>
            </w:pPr>
            <w:r>
              <w:rPr/>
              <w:t>2,635.71</w:t>
            </w:r>
          </w:p>
        </w:tc>
        <w:tc>
          <w:tcPr>
            <w:tcW w:w="316" w:type="dxa"/>
            <w:tcBorders/>
            <w:shd w:fill="EEEEEE" w:val="clear"/>
            <w:vAlign w:val="center"/>
          </w:tcPr>
          <w:p>
            <w:pPr>
              <w:pStyle w:val="TableContents"/>
              <w:bidi w:val="0"/>
              <w:spacing w:before="0" w:after="283"/>
              <w:jc w:val="left"/>
              <w:rPr/>
            </w:pPr>
            <w:r>
              <w:rPr/>
              <w:t> </w:t>
            </w:r>
          </w:p>
        </w:tc>
      </w:tr>
      <w:tr>
        <w:trPr/>
        <w:tc>
          <w:tcPr>
            <w:tcW w:w="324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Outstanding, June 30, 2024</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326" w:name="xdx_98A_eus-gaap--ClassOfWarrantOrRightO"/>
            <w:bookmarkEnd w:id="326"/>
          </w:p>
        </w:tc>
        <w:tc>
          <w:tcPr>
            <w:tcW w:w="980" w:type="dxa"/>
            <w:tcBorders>
              <w:bottom w:val="double" w:sz="6" w:space="0" w:color="000000"/>
            </w:tcBorders>
            <w:shd w:fill="FFFFFF" w:val="clear"/>
            <w:tcMar>
              <w:bottom w:w="28" w:type="dxa"/>
            </w:tcMar>
            <w:vAlign w:val="center"/>
          </w:tcPr>
          <w:p>
            <w:pPr>
              <w:pStyle w:val="TableContents"/>
              <w:bidi w:val="0"/>
              <w:spacing w:before="0" w:after="283"/>
              <w:jc w:val="right"/>
              <w:rPr/>
            </w:pPr>
            <w:r>
              <w:rPr/>
              <w:t>1,551,422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8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bookmarkStart w:id="327" w:name="xdx_98E_eus-gaap--ClassOfWarrantOrRightE"/>
            <w:bookmarkEnd w:id="327"/>
          </w:p>
        </w:tc>
        <w:tc>
          <w:tcPr>
            <w:tcW w:w="3616" w:type="dxa"/>
            <w:tcBorders>
              <w:bottom w:val="double" w:sz="6" w:space="0" w:color="000000"/>
            </w:tcBorders>
            <w:shd w:fill="FFFFFF" w:val="clear"/>
            <w:tcMar>
              <w:bottom w:w="28" w:type="dxa"/>
            </w:tcMar>
            <w:vAlign w:val="center"/>
          </w:tcPr>
          <w:p>
            <w:pPr>
              <w:pStyle w:val="TableContents"/>
              <w:bidi w:val="0"/>
              <w:spacing w:before="0" w:after="283"/>
              <w:jc w:val="right"/>
              <w:rPr/>
            </w:pPr>
            <w:r>
              <w:rPr/>
              <w:t>15.03</w:t>
            </w:r>
          </w:p>
        </w:tc>
        <w:tc>
          <w:tcPr>
            <w:tcW w:w="316" w:type="dxa"/>
            <w:tcBorders/>
            <w:shd w:fill="FFFFFF" w:val="clear"/>
            <w:vAlign w:val="center"/>
          </w:tcPr>
          <w:p>
            <w:pPr>
              <w:pStyle w:val="TableContents"/>
              <w:bidi w:val="0"/>
              <w:spacing w:before="0" w:after="283"/>
              <w:jc w:val="left"/>
              <w:rPr/>
            </w:pPr>
            <w:r>
              <w:rPr/>
              <w:t> </w:t>
            </w:r>
          </w:p>
        </w:tc>
      </w:tr>
      <w:tr>
        <w:trPr/>
        <w:tc>
          <w:tcPr>
            <w:tcW w:w="324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Exercisable, June 30,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328" w:name="xdx_981_eus-gaap--ShareBasedCompensation"/>
            <w:bookmarkEnd w:id="328"/>
          </w:p>
        </w:tc>
        <w:tc>
          <w:tcPr>
            <w:tcW w:w="980" w:type="dxa"/>
            <w:tcBorders>
              <w:bottom w:val="double" w:sz="6" w:space="0" w:color="000000"/>
            </w:tcBorders>
            <w:shd w:fill="EEEEEE" w:val="clear"/>
            <w:tcMar>
              <w:bottom w:w="28" w:type="dxa"/>
            </w:tcMar>
            <w:vAlign w:val="center"/>
          </w:tcPr>
          <w:p>
            <w:pPr>
              <w:pStyle w:val="TableContents"/>
              <w:bidi w:val="0"/>
              <w:spacing w:before="0" w:after="283"/>
              <w:jc w:val="right"/>
              <w:rPr/>
            </w:pPr>
            <w:r>
              <w:rPr/>
              <w:t>1,551,422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8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329" w:name="xdx_986_eus-gaap--ShareBasedCompensation"/>
            <w:bookmarkEnd w:id="329"/>
          </w:p>
        </w:tc>
        <w:tc>
          <w:tcPr>
            <w:tcW w:w="3616" w:type="dxa"/>
            <w:tcBorders>
              <w:bottom w:val="double" w:sz="6" w:space="0" w:color="000000"/>
            </w:tcBorders>
            <w:shd w:fill="EEEEEE" w:val="clear"/>
            <w:tcMar>
              <w:bottom w:w="28" w:type="dxa"/>
            </w:tcMar>
            <w:vAlign w:val="center"/>
          </w:tcPr>
          <w:p>
            <w:pPr>
              <w:pStyle w:val="TableContents"/>
              <w:bidi w:val="0"/>
              <w:spacing w:before="0" w:after="283"/>
              <w:jc w:val="right"/>
              <w:rPr/>
            </w:pPr>
            <w:r>
              <w:rPr/>
              <w:t>15.03</w:t>
            </w:r>
          </w:p>
        </w:tc>
        <w:tc>
          <w:tcPr>
            <w:tcW w:w="316"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As of June 30, 2024, the outstanding and exercisable warrants have a weighted average remaining term of </w:t>
      </w:r>
      <w:bookmarkStart w:id="330" w:name="xdx_90F_eus-gaap--SharebasedCompensation"/>
      <w:bookmarkEnd w:id="330"/>
      <w:r>
        <w:rPr>
          <w:rFonts w:ascii="Times New Roman;Times;Serif" w:hAnsi="Times New Roman;Times;Serif"/>
          <w:b w:val="false"/>
          <w:i w:val="false"/>
          <w:caps w:val="false"/>
          <w:smallCaps w:val="false"/>
          <w:sz w:val="20"/>
        </w:rPr>
        <w:t>4.22 years and had no aggregate intrinsic value.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31" w:name="xdx_23E_zL6eB3l7ayCl"/>
      <w:bookmarkEnd w:id="331"/>
      <w:r>
        <w:rPr>
          <w:caps w:val="false"/>
          <w:smallCaps w:val="false"/>
        </w:rPr>
        <w:t> </w:t>
      </w:r>
    </w:p>
    <w:p>
      <w:pPr>
        <w:pStyle w:val="TextBody"/>
        <w:bidi w:val="0"/>
        <w:spacing w:before="0" w:after="0"/>
        <w:ind w:left="0" w:right="0" w:hanging="0"/>
        <w:jc w:val="left"/>
        <w:rPr>
          <w:caps w:val="false"/>
          <w:smallCaps w:val="false"/>
        </w:rPr>
      </w:pPr>
      <w:bookmarkStart w:id="332" w:name="xdx_237_zb1f1nPeWjph"/>
      <w:bookmarkEnd w:id="332"/>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11</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33" w:name="xdx_232_z5sEP9WR6yag"/>
      <w:bookmarkEnd w:id="333"/>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Restricted Stock Units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28, 2022, the Board of Directors granted officers and employees a total of </w:t>
      </w:r>
      <w:bookmarkStart w:id="334" w:name="xdx_90A_eus-gaap--StockIssuedDuringPerio"/>
      <w:bookmarkEnd w:id="334"/>
      <w:r>
        <w:rPr>
          <w:rFonts w:ascii="Times New Roman;Times;Serif" w:hAnsi="Times New Roman;Times;Serif"/>
          <w:b w:val="false"/>
          <w:i w:val="false"/>
          <w:caps w:val="false"/>
          <w:smallCaps w:val="false"/>
          <w:sz w:val="20"/>
        </w:rPr>
        <w:t>193 Restricted Stock Units that partially vest over 4 years. The Company valued the RSUs based on the stock price at grant which total $</w:t>
      </w:r>
      <w:bookmarkStart w:id="335" w:name="xdx_904_eus-gaap--StockIssuedDuringPerio"/>
      <w:bookmarkEnd w:id="335"/>
      <w:r>
        <w:rPr>
          <w:rFonts w:ascii="Times New Roman;Times;Serif" w:hAnsi="Times New Roman;Times;Serif"/>
          <w:b w:val="false"/>
          <w:i w:val="false"/>
          <w:caps w:val="false"/>
          <w:smallCaps w:val="false"/>
          <w:sz w:val="20"/>
        </w:rPr>
        <w:t>95,399.</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7, 2024, the Board of Directors approved grants of </w:t>
      </w:r>
      <w:bookmarkStart w:id="336" w:name="xdx_901_eus-gaap--ShareBasedCompensation"/>
      <w:bookmarkEnd w:id="336"/>
      <w:r>
        <w:rPr>
          <w:rFonts w:ascii="Times New Roman;Times;Serif" w:hAnsi="Times New Roman;Times;Serif"/>
          <w:b w:val="false"/>
          <w:i w:val="false"/>
          <w:caps w:val="false"/>
          <w:smallCaps w:val="false"/>
          <w:sz w:val="20"/>
        </w:rPr>
        <w:t xml:space="preserve">5,330 RSUs to officers, employees, and board of directors. Of the </w:t>
      </w:r>
      <w:bookmarkStart w:id="337" w:name="xdx_90C_eus-gaap--ShareBasedCompensation"/>
      <w:bookmarkEnd w:id="337"/>
      <w:r>
        <w:rPr>
          <w:rFonts w:ascii="Times New Roman;Times;Serif" w:hAnsi="Times New Roman;Times;Serif"/>
          <w:b w:val="false"/>
          <w:i w:val="false"/>
          <w:caps w:val="false"/>
          <w:smallCaps w:val="false"/>
          <w:sz w:val="20"/>
        </w:rPr>
        <w:t xml:space="preserve">5,330 RSUs issued, </w:t>
      </w:r>
      <w:bookmarkStart w:id="338" w:name="xdx_90C_eus-gaap--ShareBasedCompensation"/>
      <w:bookmarkEnd w:id="338"/>
      <w:r>
        <w:rPr>
          <w:rFonts w:ascii="Times New Roman;Times;Serif" w:hAnsi="Times New Roman;Times;Serif"/>
          <w:b w:val="false"/>
          <w:i w:val="false"/>
          <w:caps w:val="false"/>
          <w:smallCaps w:val="false"/>
          <w:sz w:val="20"/>
        </w:rPr>
        <w:t xml:space="preserve">1,750 RSUs </w:t>
      </w:r>
      <w:bookmarkStart w:id="339" w:name="xdx_902_eus-gaap--ShareBasedCompensation"/>
      <w:bookmarkEnd w:id="339"/>
      <w:r>
        <w:rPr>
          <w:rFonts w:ascii="Times New Roman;Times;Serif" w:hAnsi="Times New Roman;Times;Serif"/>
          <w:b w:val="false"/>
          <w:i w:val="false"/>
          <w:caps w:val="false"/>
          <w:smallCaps w:val="false"/>
          <w:sz w:val="20"/>
        </w:rPr>
        <w:t xml:space="preserve">vest on the first anniversary or at the time of the 2025 shareholder meeting, whichever occurs first and </w:t>
      </w:r>
      <w:bookmarkStart w:id="340" w:name="xdx_90A_eus-gaap--ShareBasedCompensation"/>
      <w:bookmarkEnd w:id="340"/>
      <w:r>
        <w:rPr>
          <w:rFonts w:ascii="Times New Roman;Times;Serif" w:hAnsi="Times New Roman;Times;Serif"/>
          <w:b w:val="false"/>
          <w:i w:val="false"/>
          <w:caps w:val="false"/>
          <w:smallCaps w:val="false"/>
          <w:sz w:val="20"/>
        </w:rPr>
        <w:t xml:space="preserve">3,580 RSUs </w:t>
      </w:r>
      <w:bookmarkStart w:id="341" w:name="xdx_90B_eus-gaap--ShareBasedCompensation"/>
      <w:bookmarkEnd w:id="341"/>
      <w:r>
        <w:rPr>
          <w:rFonts w:ascii="Times New Roman;Times;Serif" w:hAnsi="Times New Roman;Times;Serif"/>
          <w:b w:val="false"/>
          <w:i w:val="false"/>
          <w:caps w:val="false"/>
          <w:smallCaps w:val="false"/>
          <w:sz w:val="20"/>
        </w:rPr>
        <w:t>vest in 8 equal quarterly installments over 2 years. The Company valued the RSUs based on the stock price at grant which total $</w:t>
      </w:r>
      <w:bookmarkStart w:id="342" w:name="xdx_90B_ecustom--FairValueOfOptionsGrant"/>
      <w:bookmarkEnd w:id="342"/>
      <w:r>
        <w:rPr>
          <w:rFonts w:ascii="Times New Roman;Times;Serif" w:hAnsi="Times New Roman;Times;Serif"/>
          <w:b w:val="false"/>
          <w:i w:val="false"/>
          <w:caps w:val="false"/>
          <w:smallCaps w:val="false"/>
          <w:sz w:val="20"/>
        </w:rPr>
        <w:t>69,027.</w:t>
      </w:r>
    </w:p>
    <w:p>
      <w:pPr>
        <w:pStyle w:val="TextBody"/>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six months ended June 30, 2024, the Company recognized $</w:t>
      </w:r>
      <w:bookmarkStart w:id="343" w:name="xdx_902_eus-gaap--ShareBasedCompensation"/>
      <w:bookmarkEnd w:id="343"/>
      <w:r>
        <w:rPr>
          <w:rFonts w:ascii="Times New Roman;Times;Serif" w:hAnsi="Times New Roman;Times;Serif"/>
          <w:b w:val="false"/>
          <w:i w:val="false"/>
          <w:caps w:val="false"/>
          <w:smallCaps w:val="false"/>
          <w:sz w:val="20"/>
        </w:rPr>
        <w:t>19,566 of stock-based compensation, related to outstanding stock RSUs. At June 30, 2024, the Company had $</w:t>
      </w:r>
      <w:bookmarkStart w:id="344" w:name="xdx_903_eus-gaap--EmployeeServiceShareBa"/>
      <w:bookmarkEnd w:id="344"/>
      <w:r>
        <w:rPr>
          <w:rFonts w:ascii="Times New Roman;Times;Serif" w:hAnsi="Times New Roman;Times;Serif"/>
          <w:b w:val="false"/>
          <w:i w:val="false"/>
          <w:caps w:val="false"/>
          <w:smallCaps w:val="false"/>
          <w:sz w:val="20"/>
        </w:rPr>
        <w:t>103,123 of unrecognized expenses related to outstanding RSUs.</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RSUs activity for the six months ended June 30, 2024:</w:t>
      </w:r>
    </w:p>
    <w:p>
      <w:pPr>
        <w:pStyle w:val="Normal"/>
        <w:bidi w:val="0"/>
        <w:spacing w:before="0" w:after="0"/>
        <w:jc w:val="left"/>
        <w:rPr>
          <w:sz w:val="4"/>
          <w:szCs w:val="4"/>
        </w:rPr>
      </w:pPr>
      <w:r>
        <w:rPr>
          <w:sz w:val="4"/>
          <w:szCs w:val="4"/>
        </w:rPr>
      </w:r>
      <w:bookmarkStart w:id="345" w:name="xdx_888_eus-gaap--ScheduleOfShareBasedCo"/>
      <w:bookmarkStart w:id="346" w:name="xdx_888_eus-gaap--ScheduleOfShareBasedCo"/>
      <w:bookmarkEnd w:id="346"/>
    </w:p>
    <w:tbl>
      <w:tblPr>
        <w:tblW w:w="7739" w:type="dxa"/>
        <w:jc w:val="left"/>
        <w:tblInd w:w="0" w:type="dxa"/>
        <w:tblLayout w:type="fixed"/>
        <w:tblCellMar>
          <w:top w:w="0" w:type="dxa"/>
          <w:left w:w="0" w:type="dxa"/>
          <w:bottom w:w="0" w:type="dxa"/>
          <w:right w:w="0" w:type="dxa"/>
        </w:tblCellMar>
      </w:tblPr>
      <w:tblGrid>
        <w:gridCol w:w="2630"/>
        <w:gridCol w:w="60"/>
        <w:gridCol w:w="60"/>
        <w:gridCol w:w="560"/>
        <w:gridCol w:w="60"/>
        <w:gridCol w:w="60"/>
        <w:gridCol w:w="673"/>
        <w:gridCol w:w="3272"/>
        <w:gridCol w:w="364"/>
      </w:tblGrid>
      <w:tr>
        <w:trPr/>
        <w:tc>
          <w:tcPr>
            <w:tcW w:w="2630" w:type="dxa"/>
            <w:tcBorders/>
            <w:vAlign w:val="center"/>
          </w:tcPr>
          <w:p>
            <w:pPr>
              <w:pStyle w:val="TableContents"/>
              <w:bidi w:val="0"/>
              <w:spacing w:before="0" w:after="283"/>
              <w:jc w:val="left"/>
              <w:rPr/>
            </w:pPr>
            <w:bookmarkStart w:id="347" w:name="xdx_8BC_z4JaNPbt0Qtl"/>
            <w:bookmarkEnd w:id="347"/>
            <w:r>
              <w:rPr/>
              <w:t>Schedule of RSUs activity</w:t>
            </w:r>
          </w:p>
        </w:tc>
        <w:tc>
          <w:tcPr>
            <w:tcW w:w="60" w:type="dxa"/>
            <w:tcBorders/>
            <w:vAlign w:val="center"/>
          </w:tcPr>
          <w:p>
            <w:pPr>
              <w:pStyle w:val="TableContents"/>
              <w:bidi w:val="0"/>
              <w:spacing w:before="0" w:after="283"/>
              <w:jc w:val="left"/>
              <w:rPr/>
            </w:pPr>
            <w:r>
              <w:rPr/>
              <w:t> </w:t>
            </w:r>
          </w:p>
        </w:tc>
        <w:tc>
          <w:tcPr>
            <w:tcW w:w="680" w:type="dxa"/>
            <w:gridSpan w:val="3"/>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4309" w:type="dxa"/>
            <w:gridSpan w:val="3"/>
            <w:tcBorders/>
            <w:vAlign w:val="center"/>
          </w:tcPr>
          <w:p>
            <w:pPr>
              <w:pStyle w:val="TableContents"/>
              <w:bidi w:val="0"/>
              <w:spacing w:before="0" w:after="283"/>
              <w:jc w:val="right"/>
              <w:rPr/>
            </w:pPr>
            <w:r>
              <w:rPr/>
              <w:t> </w:t>
            </w:r>
          </w:p>
        </w:tc>
      </w:tr>
      <w:tr>
        <w:trPr/>
        <w:tc>
          <w:tcPr>
            <w:tcW w:w="263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80" w:type="dxa"/>
            <w:gridSpan w:val="3"/>
            <w:tcBorders>
              <w:bottom w:val="single" w:sz="8" w:space="0" w:color="000000"/>
            </w:tcBorders>
            <w:tcMar>
              <w:bottom w:w="28" w:type="dxa"/>
            </w:tcMar>
            <w:vAlign w:val="center"/>
          </w:tcPr>
          <w:p>
            <w:pPr>
              <w:pStyle w:val="TableContents"/>
              <w:bidi w:val="0"/>
              <w:spacing w:before="0" w:after="283"/>
              <w:jc w:val="center"/>
              <w:rPr>
                <w:b/>
              </w:rPr>
            </w:pPr>
            <w:r>
              <w:rPr>
                <w:b/>
              </w:rPr>
              <w:t>RSUs</w:t>
            </w:r>
          </w:p>
        </w:tc>
        <w:tc>
          <w:tcPr>
            <w:tcW w:w="60" w:type="dxa"/>
            <w:tcBorders/>
            <w:vAlign w:val="center"/>
          </w:tcPr>
          <w:p>
            <w:pPr>
              <w:pStyle w:val="TableContents"/>
              <w:bidi w:val="0"/>
              <w:spacing w:before="0" w:after="283"/>
              <w:jc w:val="left"/>
              <w:rPr/>
            </w:pPr>
            <w:r>
              <w:rPr/>
              <w:t> </w:t>
            </w:r>
          </w:p>
        </w:tc>
        <w:tc>
          <w:tcPr>
            <w:tcW w:w="4309" w:type="dxa"/>
            <w:gridSpan w:val="3"/>
            <w:tcBorders>
              <w:bottom w:val="single" w:sz="8" w:space="0" w:color="000000"/>
            </w:tcBorders>
            <w:tcMar>
              <w:bottom w:w="28" w:type="dxa"/>
            </w:tcMar>
            <w:vAlign w:val="center"/>
          </w:tcPr>
          <w:p>
            <w:pPr>
              <w:pStyle w:val="TableContents"/>
              <w:bidi w:val="0"/>
              <w:spacing w:before="0" w:after="283"/>
              <w:jc w:val="center"/>
              <w:rPr>
                <w:b/>
              </w:rPr>
            </w:pPr>
            <w:r>
              <w:rPr>
                <w:b/>
              </w:rPr>
              <w:t>Weighted-Average Grant Date Fair Value</w:t>
            </w:r>
          </w:p>
        </w:tc>
      </w:tr>
      <w:tr>
        <w:trPr/>
        <w:tc>
          <w:tcPr>
            <w:tcW w:w="263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Non-vested,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348" w:name="xdx_986_eus-gaap--ShareBasedCompensation"/>
            <w:bookmarkEnd w:id="348"/>
          </w:p>
        </w:tc>
        <w:tc>
          <w:tcPr>
            <w:tcW w:w="560" w:type="dxa"/>
            <w:tcBorders/>
            <w:shd w:fill="EEEEEE" w:val="clear"/>
            <w:vAlign w:val="center"/>
          </w:tcPr>
          <w:p>
            <w:pPr>
              <w:pStyle w:val="TableContents"/>
              <w:bidi w:val="0"/>
              <w:spacing w:before="0" w:after="283"/>
              <w:jc w:val="right"/>
              <w:rPr/>
            </w:pPr>
            <w:r>
              <w:rPr/>
              <w:t>145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73" w:type="dxa"/>
            <w:tcBorders/>
            <w:shd w:fill="EEEEEE" w:val="clear"/>
            <w:vAlign w:val="center"/>
          </w:tcPr>
          <w:p>
            <w:pPr>
              <w:pStyle w:val="TableContents"/>
              <w:bidi w:val="0"/>
              <w:spacing w:before="0" w:after="283"/>
              <w:jc w:val="left"/>
              <w:rPr/>
            </w:pPr>
            <w:r>
              <w:rPr/>
              <w:t>$</w:t>
            </w:r>
            <w:bookmarkStart w:id="349" w:name="xdx_98B_eus-gaap--SharebasedCompensation"/>
            <w:bookmarkEnd w:id="349"/>
          </w:p>
        </w:tc>
        <w:tc>
          <w:tcPr>
            <w:tcW w:w="3272" w:type="dxa"/>
            <w:tcBorders/>
            <w:shd w:fill="EEEEEE" w:val="clear"/>
            <w:vAlign w:val="center"/>
          </w:tcPr>
          <w:p>
            <w:pPr>
              <w:pStyle w:val="TableContents"/>
              <w:bidi w:val="0"/>
              <w:spacing w:before="0" w:after="283"/>
              <w:jc w:val="right"/>
              <w:rPr/>
            </w:pPr>
            <w:r>
              <w:rPr/>
              <w:t>501.00</w:t>
            </w:r>
          </w:p>
        </w:tc>
        <w:tc>
          <w:tcPr>
            <w:tcW w:w="364" w:type="dxa"/>
            <w:tcBorders/>
            <w:shd w:fill="EEEEEE" w:val="clear"/>
            <w:vAlign w:val="center"/>
          </w:tcPr>
          <w:p>
            <w:pPr>
              <w:pStyle w:val="TableContents"/>
              <w:bidi w:val="0"/>
              <w:spacing w:before="0" w:after="283"/>
              <w:jc w:val="left"/>
              <w:rPr/>
            </w:pPr>
            <w:r>
              <w:rPr/>
              <w:t> </w:t>
            </w:r>
          </w:p>
        </w:tc>
      </w:tr>
      <w:tr>
        <w:trPr/>
        <w:tc>
          <w:tcPr>
            <w:tcW w:w="263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Granted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350" w:name="xdx_983_eus-gaap--ShareBasedCompensation"/>
            <w:bookmarkEnd w:id="350"/>
          </w:p>
        </w:tc>
        <w:tc>
          <w:tcPr>
            <w:tcW w:w="560" w:type="dxa"/>
            <w:tcBorders/>
            <w:shd w:fill="FFFFFF" w:val="clear"/>
            <w:vAlign w:val="center"/>
          </w:tcPr>
          <w:p>
            <w:pPr>
              <w:pStyle w:val="TableContents"/>
              <w:bidi w:val="0"/>
              <w:spacing w:before="0" w:after="283"/>
              <w:jc w:val="right"/>
              <w:rPr/>
            </w:pPr>
            <w:r>
              <w:rPr/>
              <w:t>5,330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73" w:type="dxa"/>
            <w:tcBorders/>
            <w:shd w:fill="FFFFFF" w:val="clear"/>
            <w:vAlign w:val="center"/>
          </w:tcPr>
          <w:p>
            <w:pPr>
              <w:pStyle w:val="TableContents"/>
              <w:bidi w:val="0"/>
              <w:spacing w:before="0" w:after="283"/>
              <w:jc w:val="left"/>
              <w:rPr/>
            </w:pPr>
            <w:r>
              <w:rPr/>
              <w:t> </w:t>
            </w:r>
            <w:bookmarkStart w:id="351" w:name="xdx_987_eus-gaap--ShareBasedCompensation"/>
            <w:bookmarkEnd w:id="351"/>
          </w:p>
        </w:tc>
        <w:tc>
          <w:tcPr>
            <w:tcW w:w="3272" w:type="dxa"/>
            <w:tcBorders/>
            <w:shd w:fill="FFFFFF" w:val="clear"/>
            <w:vAlign w:val="center"/>
          </w:tcPr>
          <w:p>
            <w:pPr>
              <w:pStyle w:val="TableContents"/>
              <w:bidi w:val="0"/>
              <w:spacing w:before="0" w:after="283"/>
              <w:jc w:val="right"/>
              <w:rPr/>
            </w:pPr>
            <w:r>
              <w:rPr/>
              <w:t>12.97</w:t>
            </w:r>
          </w:p>
        </w:tc>
        <w:tc>
          <w:tcPr>
            <w:tcW w:w="364" w:type="dxa"/>
            <w:tcBorders/>
            <w:shd w:fill="FFFFFF" w:val="clear"/>
            <w:vAlign w:val="center"/>
          </w:tcPr>
          <w:p>
            <w:pPr>
              <w:pStyle w:val="TableContents"/>
              <w:bidi w:val="0"/>
              <w:spacing w:before="0" w:after="283"/>
              <w:jc w:val="left"/>
              <w:rPr/>
            </w:pPr>
            <w:r>
              <w:rPr/>
              <w:t> </w:t>
            </w:r>
          </w:p>
        </w:tc>
      </w:tr>
      <w:tr>
        <w:trPr/>
        <w:tc>
          <w:tcPr>
            <w:tcW w:w="263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Vested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352" w:name="xdx_983_eus-gaap--ShareBasedCompensation"/>
            <w:bookmarkEnd w:id="352"/>
          </w:p>
        </w:tc>
        <w:tc>
          <w:tcPr>
            <w:tcW w:w="56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73" w:type="dxa"/>
            <w:tcBorders/>
            <w:shd w:fill="EEEEEE" w:val="clear"/>
            <w:vAlign w:val="center"/>
          </w:tcPr>
          <w:p>
            <w:pPr>
              <w:pStyle w:val="TableContents"/>
              <w:bidi w:val="0"/>
              <w:spacing w:before="0" w:after="283"/>
              <w:jc w:val="left"/>
              <w:rPr/>
            </w:pPr>
            <w:r>
              <w:rPr/>
              <w:t> </w:t>
            </w:r>
            <w:bookmarkStart w:id="353" w:name="xdx_98C_ecustom--ShareBasedCompensationA"/>
            <w:bookmarkEnd w:id="353"/>
          </w:p>
        </w:tc>
        <w:tc>
          <w:tcPr>
            <w:tcW w:w="3272" w:type="dxa"/>
            <w:tcBorders/>
            <w:shd w:fill="EEEEEE" w:val="clear"/>
            <w:vAlign w:val="center"/>
          </w:tcPr>
          <w:p>
            <w:pPr>
              <w:pStyle w:val="TableContents"/>
              <w:bidi w:val="0"/>
              <w:spacing w:before="0" w:after="283"/>
              <w:jc w:val="right"/>
              <w:rPr/>
            </w:pPr>
            <w:r>
              <w:rPr/>
              <w:t>–</w:t>
            </w:r>
          </w:p>
        </w:tc>
        <w:tc>
          <w:tcPr>
            <w:tcW w:w="364" w:type="dxa"/>
            <w:tcBorders/>
            <w:shd w:fill="EEEEEE" w:val="clear"/>
            <w:vAlign w:val="center"/>
          </w:tcPr>
          <w:p>
            <w:pPr>
              <w:pStyle w:val="TableContents"/>
              <w:bidi w:val="0"/>
              <w:spacing w:before="0" w:after="283"/>
              <w:jc w:val="left"/>
              <w:rPr/>
            </w:pPr>
            <w:r>
              <w:rPr/>
              <w:t> </w:t>
            </w:r>
          </w:p>
        </w:tc>
      </w:tr>
      <w:tr>
        <w:trPr/>
        <w:tc>
          <w:tcPr>
            <w:tcW w:w="263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Forfeited</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354" w:name="xdx_98F_eus-gaap--ShareBasedCompensation"/>
            <w:bookmarkEnd w:id="354"/>
          </w:p>
        </w:tc>
        <w:tc>
          <w:tcPr>
            <w:tcW w:w="56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73"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355" w:name="xdx_981_ecustom--ShareBasedCompensationA"/>
            <w:bookmarkEnd w:id="355"/>
          </w:p>
        </w:tc>
        <w:tc>
          <w:tcPr>
            <w:tcW w:w="3272"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364" w:type="dxa"/>
            <w:tcBorders/>
            <w:shd w:fill="FFFFFF" w:val="clear"/>
            <w:vAlign w:val="center"/>
          </w:tcPr>
          <w:p>
            <w:pPr>
              <w:pStyle w:val="TableContents"/>
              <w:bidi w:val="0"/>
              <w:spacing w:before="0" w:after="283"/>
              <w:jc w:val="left"/>
              <w:rPr/>
            </w:pPr>
            <w:r>
              <w:rPr/>
              <w:t> </w:t>
            </w:r>
          </w:p>
        </w:tc>
      </w:tr>
      <w:tr>
        <w:trPr/>
        <w:tc>
          <w:tcPr>
            <w:tcW w:w="263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Non-vested, June 30,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356" w:name="xdx_98F_eus-gaap--ShareBasedCompensation"/>
            <w:bookmarkEnd w:id="356"/>
          </w:p>
        </w:tc>
        <w:tc>
          <w:tcPr>
            <w:tcW w:w="560" w:type="dxa"/>
            <w:tcBorders>
              <w:bottom w:val="double" w:sz="6" w:space="0" w:color="000000"/>
            </w:tcBorders>
            <w:shd w:fill="EEEEEE" w:val="clear"/>
            <w:tcMar>
              <w:bottom w:w="28" w:type="dxa"/>
            </w:tcMar>
            <w:vAlign w:val="center"/>
          </w:tcPr>
          <w:p>
            <w:pPr>
              <w:pStyle w:val="TableContents"/>
              <w:bidi w:val="0"/>
              <w:spacing w:before="0" w:after="283"/>
              <w:jc w:val="right"/>
              <w:rPr/>
            </w:pPr>
            <w:r>
              <w:rPr/>
              <w:t>5,475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73"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357" w:name="xdx_980_eus-gaap--SharebasedCompensation"/>
            <w:bookmarkEnd w:id="357"/>
          </w:p>
        </w:tc>
        <w:tc>
          <w:tcPr>
            <w:tcW w:w="3272" w:type="dxa"/>
            <w:tcBorders>
              <w:bottom w:val="double" w:sz="6" w:space="0" w:color="000000"/>
            </w:tcBorders>
            <w:shd w:fill="EEEEEE" w:val="clear"/>
            <w:tcMar>
              <w:bottom w:w="28" w:type="dxa"/>
            </w:tcMar>
            <w:vAlign w:val="center"/>
          </w:tcPr>
          <w:p>
            <w:pPr>
              <w:pStyle w:val="TableContents"/>
              <w:bidi w:val="0"/>
              <w:spacing w:before="0" w:after="283"/>
              <w:jc w:val="right"/>
              <w:rPr/>
            </w:pPr>
            <w:r>
              <w:rPr/>
              <w:t>25.89</w:t>
            </w:r>
          </w:p>
        </w:tc>
        <w:tc>
          <w:tcPr>
            <w:tcW w:w="364"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Performance Units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28, 2022, the Compensation Committee approved, the officers and employees were awarded a total of </w:t>
      </w:r>
      <w:bookmarkStart w:id="358" w:name="xdx_901_eus-gaap--ShareBasedCompensation"/>
      <w:bookmarkEnd w:id="358"/>
      <w:r>
        <w:rPr>
          <w:rFonts w:ascii="Times New Roman;Times;Serif" w:hAnsi="Times New Roman;Times;Serif"/>
          <w:b w:val="false"/>
          <w:i w:val="false"/>
          <w:caps w:val="false"/>
          <w:smallCaps w:val="false"/>
          <w:sz w:val="20"/>
        </w:rPr>
        <w:t>573 PUs. For awards granted in 2022, they vest as follows: (i) 191 of the PU grant will vest if within 24 months from issuance the average the closing price of the Company’s common stock over a ten trading day period exceeds $3,000 (subject to pro rata adjustment for stock splits or similar events), (ii) 191 of the PU grant will vest if within 36 months from issuance the average the closing price of the Company’s common stock over a ten trading day period exceeds $6,000 (subject to pro rata adjustment for stock splits or similar events) and (iii) 191 of the PU grant will vest if within 24 months from issuance the Company achieves “Positive Interim, Clinical Data” as defined by the Board of Directors. To the extent that the market and/or “Positive Interim Clinical Data” conditions are not met, the applicable portions of the PUs will not vest and will be cancelled. The fair value at grant date of these performance units was $</w:t>
      </w:r>
      <w:bookmarkStart w:id="359" w:name="xdx_905_ecustom--ShareBasedCompensationA"/>
      <w:bookmarkEnd w:id="359"/>
      <w:r>
        <w:rPr>
          <w:rFonts w:ascii="Times New Roman;Times;Serif" w:hAnsi="Times New Roman;Times;Serif"/>
          <w:b w:val="false"/>
          <w:i w:val="false"/>
          <w:caps w:val="false"/>
          <w:smallCaps w:val="false"/>
          <w:sz w:val="20"/>
        </w:rPr>
        <w:t>169,663. Compensation expense is recognized over the derived service period for the PUs with market conditions and over the requisite service period for PUs with performance conditions on the date when achievement of such conditions are deemed probable.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fair value of each performance unit with market conditions (vesting terms (i) and (ii)) is estimated at the date of grant using a Monte Carlo simulation with the following assumptions: underlying stock price $501, hurdle prices ranging from $3,000 -$6,000, expected terms ranging from 2-3 years, cost of equity 18.7% and risk-free rate of 2.8%.</w:t>
      </w:r>
    </w:p>
    <w:p>
      <w:pPr>
        <w:pStyle w:val="TextBody"/>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six months ended June 30, 2024, the Company recognized $</w:t>
      </w:r>
      <w:bookmarkStart w:id="360" w:name="xdx_90F_eus-gaap--ShareBasedCompensation"/>
      <w:bookmarkEnd w:id="360"/>
      <w:r>
        <w:rPr>
          <w:rFonts w:ascii="Times New Roman;Times;Serif" w:hAnsi="Times New Roman;Times;Serif"/>
          <w:b w:val="false"/>
          <w:i w:val="false"/>
          <w:caps w:val="false"/>
          <w:smallCaps w:val="false"/>
          <w:sz w:val="20"/>
        </w:rPr>
        <w:t>4,963 related to outstanding stock PUs. At June 30, 2024, the Company had $</w:t>
      </w:r>
      <w:bookmarkStart w:id="361" w:name="xdx_904_eus-gaap--EmployeeServiceShareBa"/>
      <w:bookmarkEnd w:id="361"/>
      <w:r>
        <w:rPr>
          <w:rFonts w:ascii="Times New Roman;Times;Serif" w:hAnsi="Times New Roman;Times;Serif"/>
          <w:b w:val="false"/>
          <w:i w:val="false"/>
          <w:caps w:val="false"/>
          <w:smallCaps w:val="false"/>
          <w:sz w:val="20"/>
        </w:rPr>
        <w:t>95,399 of unrecognized expenses related to PUs.</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caps w:val="false"/>
          <w:smallCaps w:val="false"/>
        </w:rPr>
      </w:pPr>
      <w:bookmarkStart w:id="362" w:name="xdx_239_zw1opJ3cayH4"/>
      <w:bookmarkEnd w:id="362"/>
      <w:r>
        <w:rPr>
          <w:caps w:val="false"/>
          <w:smallCaps w:val="false"/>
        </w:rPr>
        <w:t> </w:t>
      </w:r>
    </w:p>
    <w:p>
      <w:pPr>
        <w:pStyle w:val="TextBody"/>
        <w:shd w:fill="FFFFFF" w:val="clear"/>
        <w:bidi w:val="0"/>
        <w:spacing w:before="0" w:after="0"/>
        <w:ind w:left="0" w:right="0" w:hanging="0"/>
        <w:jc w:val="left"/>
        <w:rPr>
          <w:caps w:val="false"/>
          <w:smallCaps w:val="false"/>
        </w:rPr>
      </w:pPr>
      <w:bookmarkStart w:id="363" w:name="xdx_231_zvBLLRer4XW"/>
      <w:bookmarkEnd w:id="363"/>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12</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shd w:fill="FFFFFF" w:val="clear"/>
        <w:bidi w:val="0"/>
        <w:spacing w:before="0" w:after="0"/>
        <w:ind w:left="0" w:right="0" w:hanging="0"/>
        <w:jc w:val="left"/>
        <w:rPr>
          <w:caps w:val="false"/>
          <w:smallCaps w:val="false"/>
        </w:rPr>
      </w:pPr>
      <w:bookmarkStart w:id="364" w:name="xdx_238_zhC5mOf9jLXf"/>
      <w:bookmarkEnd w:id="364"/>
      <w:r>
        <w:rPr>
          <w:caps w:val="false"/>
          <w:smallCaps w:val="false"/>
        </w:rPr>
        <w:t> </w:t>
      </w:r>
    </w:p>
    <w:p>
      <w:pPr>
        <w:pStyle w:val="TextBody"/>
        <w:shd w:fill="FFFFFF" w:val="clear"/>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PUs activity for the six months ended June 30, 2024:</w:t>
      </w:r>
    </w:p>
    <w:p>
      <w:pPr>
        <w:pStyle w:val="Normal"/>
        <w:bidi w:val="0"/>
        <w:spacing w:before="0" w:after="0"/>
        <w:jc w:val="left"/>
        <w:rPr>
          <w:sz w:val="4"/>
          <w:szCs w:val="4"/>
        </w:rPr>
      </w:pPr>
      <w:r>
        <w:rPr>
          <w:sz w:val="4"/>
          <w:szCs w:val="4"/>
        </w:rPr>
      </w:r>
      <w:bookmarkStart w:id="365" w:name="xdx_887_eus-gaap--ShareBasedCompensation"/>
      <w:bookmarkStart w:id="366" w:name="xdx_887_eus-gaap--ShareBasedCompensation"/>
      <w:bookmarkEnd w:id="366"/>
    </w:p>
    <w:tbl>
      <w:tblPr>
        <w:tblW w:w="7559" w:type="dxa"/>
        <w:jc w:val="left"/>
        <w:tblInd w:w="0" w:type="dxa"/>
        <w:tblLayout w:type="fixed"/>
        <w:tblCellMar>
          <w:top w:w="0" w:type="dxa"/>
          <w:left w:w="0" w:type="dxa"/>
          <w:bottom w:w="0" w:type="dxa"/>
          <w:right w:w="0" w:type="dxa"/>
        </w:tblCellMar>
      </w:tblPr>
      <w:tblGrid>
        <w:gridCol w:w="2630"/>
        <w:gridCol w:w="60"/>
        <w:gridCol w:w="60"/>
        <w:gridCol w:w="380"/>
        <w:gridCol w:w="60"/>
        <w:gridCol w:w="60"/>
        <w:gridCol w:w="673"/>
        <w:gridCol w:w="3272"/>
        <w:gridCol w:w="364"/>
      </w:tblGrid>
      <w:tr>
        <w:trPr/>
        <w:tc>
          <w:tcPr>
            <w:tcW w:w="2630" w:type="dxa"/>
            <w:tcBorders/>
            <w:vAlign w:val="center"/>
          </w:tcPr>
          <w:p>
            <w:pPr>
              <w:pStyle w:val="TableContents"/>
              <w:bidi w:val="0"/>
              <w:spacing w:before="0" w:after="283"/>
              <w:jc w:val="left"/>
              <w:rPr/>
            </w:pPr>
            <w:bookmarkStart w:id="367" w:name="xdx_8B6_zUtvXxNJ2mhf"/>
            <w:bookmarkEnd w:id="367"/>
            <w:r>
              <w:rPr/>
              <w:t>Schedule of  PUs activity</w:t>
            </w:r>
          </w:p>
        </w:tc>
        <w:tc>
          <w:tcPr>
            <w:tcW w:w="60" w:type="dxa"/>
            <w:tcBorders/>
            <w:vAlign w:val="center"/>
          </w:tcPr>
          <w:p>
            <w:pPr>
              <w:pStyle w:val="TableContents"/>
              <w:bidi w:val="0"/>
              <w:spacing w:before="0" w:after="283"/>
              <w:jc w:val="left"/>
              <w:rPr/>
            </w:pPr>
            <w:r>
              <w:rPr/>
              <w:t> </w:t>
            </w:r>
          </w:p>
        </w:tc>
        <w:tc>
          <w:tcPr>
            <w:tcW w:w="500" w:type="dxa"/>
            <w:gridSpan w:val="3"/>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4309" w:type="dxa"/>
            <w:gridSpan w:val="3"/>
            <w:tcBorders/>
            <w:vAlign w:val="center"/>
          </w:tcPr>
          <w:p>
            <w:pPr>
              <w:pStyle w:val="TableContents"/>
              <w:bidi w:val="0"/>
              <w:spacing w:before="0" w:after="283"/>
              <w:jc w:val="right"/>
              <w:rPr/>
            </w:pPr>
            <w:r>
              <w:rPr/>
              <w:t> </w:t>
            </w:r>
          </w:p>
        </w:tc>
      </w:tr>
      <w:tr>
        <w:trPr/>
        <w:tc>
          <w:tcPr>
            <w:tcW w:w="263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500" w:type="dxa"/>
            <w:gridSpan w:val="3"/>
            <w:tcBorders>
              <w:bottom w:val="single" w:sz="8" w:space="0" w:color="000000"/>
            </w:tcBorders>
            <w:tcMar>
              <w:bottom w:w="28" w:type="dxa"/>
            </w:tcMar>
            <w:vAlign w:val="center"/>
          </w:tcPr>
          <w:p>
            <w:pPr>
              <w:pStyle w:val="TableContents"/>
              <w:bidi w:val="0"/>
              <w:spacing w:before="0" w:after="283"/>
              <w:jc w:val="center"/>
              <w:rPr>
                <w:b/>
              </w:rPr>
            </w:pPr>
            <w:r>
              <w:rPr>
                <w:b/>
              </w:rPr>
              <w:t>PUs</w:t>
            </w:r>
          </w:p>
        </w:tc>
        <w:tc>
          <w:tcPr>
            <w:tcW w:w="60" w:type="dxa"/>
            <w:tcBorders/>
            <w:vAlign w:val="center"/>
          </w:tcPr>
          <w:p>
            <w:pPr>
              <w:pStyle w:val="TableContents"/>
              <w:bidi w:val="0"/>
              <w:spacing w:before="0" w:after="283"/>
              <w:jc w:val="left"/>
              <w:rPr/>
            </w:pPr>
            <w:r>
              <w:rPr/>
              <w:t> </w:t>
            </w:r>
          </w:p>
        </w:tc>
        <w:tc>
          <w:tcPr>
            <w:tcW w:w="4309" w:type="dxa"/>
            <w:gridSpan w:val="3"/>
            <w:tcBorders>
              <w:bottom w:val="single" w:sz="8" w:space="0" w:color="000000"/>
            </w:tcBorders>
            <w:tcMar>
              <w:bottom w:w="28" w:type="dxa"/>
            </w:tcMar>
            <w:vAlign w:val="center"/>
          </w:tcPr>
          <w:p>
            <w:pPr>
              <w:pStyle w:val="TableContents"/>
              <w:bidi w:val="0"/>
              <w:spacing w:before="0" w:after="283"/>
              <w:jc w:val="center"/>
              <w:rPr>
                <w:b/>
              </w:rPr>
            </w:pPr>
            <w:r>
              <w:rPr>
                <w:b/>
              </w:rPr>
              <w:t>Weighted-Average Grant Date Fair Value</w:t>
            </w:r>
          </w:p>
        </w:tc>
      </w:tr>
      <w:tr>
        <w:trPr/>
        <w:tc>
          <w:tcPr>
            <w:tcW w:w="263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Non-vested,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368" w:name="xdx_98C_eus-gaap--ShareBasedCompensation"/>
            <w:bookmarkEnd w:id="368"/>
          </w:p>
        </w:tc>
        <w:tc>
          <w:tcPr>
            <w:tcW w:w="380" w:type="dxa"/>
            <w:tcBorders/>
            <w:shd w:fill="EEEEEE" w:val="clear"/>
            <w:vAlign w:val="center"/>
          </w:tcPr>
          <w:p>
            <w:pPr>
              <w:pStyle w:val="TableContents"/>
              <w:bidi w:val="0"/>
              <w:spacing w:before="0" w:after="283"/>
              <w:jc w:val="right"/>
              <w:rPr/>
            </w:pPr>
            <w:r>
              <w:rPr/>
              <w:t>577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73" w:type="dxa"/>
            <w:tcBorders/>
            <w:shd w:fill="EEEEEE" w:val="clear"/>
            <w:vAlign w:val="center"/>
          </w:tcPr>
          <w:p>
            <w:pPr>
              <w:pStyle w:val="TableContents"/>
              <w:bidi w:val="0"/>
              <w:spacing w:before="0" w:after="283"/>
              <w:jc w:val="left"/>
              <w:rPr/>
            </w:pPr>
            <w:r>
              <w:rPr/>
              <w:t>$</w:t>
            </w:r>
            <w:bookmarkStart w:id="369" w:name="xdx_98C_eus-gaap--SharebasedCompensation"/>
            <w:bookmarkEnd w:id="369"/>
          </w:p>
        </w:tc>
        <w:tc>
          <w:tcPr>
            <w:tcW w:w="3272" w:type="dxa"/>
            <w:tcBorders/>
            <w:shd w:fill="EEEEEE" w:val="clear"/>
            <w:vAlign w:val="center"/>
          </w:tcPr>
          <w:p>
            <w:pPr>
              <w:pStyle w:val="TableContents"/>
              <w:bidi w:val="0"/>
              <w:spacing w:before="0" w:after="283"/>
              <w:jc w:val="right"/>
              <w:rPr/>
            </w:pPr>
            <w:r>
              <w:rPr/>
              <w:t>296.82</w:t>
            </w:r>
          </w:p>
        </w:tc>
        <w:tc>
          <w:tcPr>
            <w:tcW w:w="364" w:type="dxa"/>
            <w:tcBorders/>
            <w:shd w:fill="EEEEEE" w:val="clear"/>
            <w:vAlign w:val="center"/>
          </w:tcPr>
          <w:p>
            <w:pPr>
              <w:pStyle w:val="TableContents"/>
              <w:bidi w:val="0"/>
              <w:spacing w:before="0" w:after="283"/>
              <w:jc w:val="left"/>
              <w:rPr/>
            </w:pPr>
            <w:r>
              <w:rPr/>
              <w:t> </w:t>
            </w:r>
          </w:p>
        </w:tc>
      </w:tr>
      <w:tr>
        <w:trPr/>
        <w:tc>
          <w:tcPr>
            <w:tcW w:w="263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Granted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370" w:name="xdx_982_eus-gaap--ShareBasedCompensation"/>
            <w:bookmarkEnd w:id="370"/>
          </w:p>
        </w:tc>
        <w:tc>
          <w:tcPr>
            <w:tcW w:w="38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73" w:type="dxa"/>
            <w:tcBorders/>
            <w:shd w:fill="FFFFFF" w:val="clear"/>
            <w:vAlign w:val="center"/>
          </w:tcPr>
          <w:p>
            <w:pPr>
              <w:pStyle w:val="TableContents"/>
              <w:bidi w:val="0"/>
              <w:spacing w:before="0" w:after="283"/>
              <w:jc w:val="left"/>
              <w:rPr/>
            </w:pPr>
            <w:r>
              <w:rPr/>
              <w:t> </w:t>
            </w:r>
            <w:bookmarkStart w:id="371" w:name="xdx_988_eus-gaap--ShareBasedCompensation"/>
            <w:bookmarkEnd w:id="371"/>
          </w:p>
        </w:tc>
        <w:tc>
          <w:tcPr>
            <w:tcW w:w="3272" w:type="dxa"/>
            <w:tcBorders/>
            <w:shd w:fill="FFFFFF" w:val="clear"/>
            <w:vAlign w:val="center"/>
          </w:tcPr>
          <w:p>
            <w:pPr>
              <w:pStyle w:val="TableContents"/>
              <w:bidi w:val="0"/>
              <w:spacing w:before="0" w:after="283"/>
              <w:jc w:val="right"/>
              <w:rPr/>
            </w:pPr>
            <w:r>
              <w:rPr/>
              <w:t>–</w:t>
            </w:r>
          </w:p>
        </w:tc>
        <w:tc>
          <w:tcPr>
            <w:tcW w:w="364" w:type="dxa"/>
            <w:tcBorders/>
            <w:shd w:fill="FFFFFF" w:val="clear"/>
            <w:vAlign w:val="center"/>
          </w:tcPr>
          <w:p>
            <w:pPr>
              <w:pStyle w:val="TableContents"/>
              <w:bidi w:val="0"/>
              <w:spacing w:before="0" w:after="283"/>
              <w:jc w:val="left"/>
              <w:rPr/>
            </w:pPr>
            <w:r>
              <w:rPr/>
              <w:t> </w:t>
            </w:r>
          </w:p>
        </w:tc>
      </w:tr>
      <w:tr>
        <w:trPr/>
        <w:tc>
          <w:tcPr>
            <w:tcW w:w="263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Vested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372" w:name="xdx_986_eus-gaap--ShareBasedCompensation"/>
            <w:bookmarkEnd w:id="372"/>
          </w:p>
        </w:tc>
        <w:tc>
          <w:tcPr>
            <w:tcW w:w="3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73" w:type="dxa"/>
            <w:tcBorders/>
            <w:shd w:fill="EEEEEE" w:val="clear"/>
            <w:vAlign w:val="center"/>
          </w:tcPr>
          <w:p>
            <w:pPr>
              <w:pStyle w:val="TableContents"/>
              <w:bidi w:val="0"/>
              <w:spacing w:before="0" w:after="283"/>
              <w:jc w:val="left"/>
              <w:rPr/>
            </w:pPr>
            <w:r>
              <w:rPr/>
              <w:t> </w:t>
            </w:r>
            <w:bookmarkStart w:id="373" w:name="xdx_985_ecustom--ShareBasedCompensationA"/>
            <w:bookmarkEnd w:id="373"/>
          </w:p>
        </w:tc>
        <w:tc>
          <w:tcPr>
            <w:tcW w:w="3272" w:type="dxa"/>
            <w:tcBorders/>
            <w:shd w:fill="EEEEEE" w:val="clear"/>
            <w:vAlign w:val="center"/>
          </w:tcPr>
          <w:p>
            <w:pPr>
              <w:pStyle w:val="TableContents"/>
              <w:bidi w:val="0"/>
              <w:spacing w:before="0" w:after="283"/>
              <w:jc w:val="right"/>
              <w:rPr/>
            </w:pPr>
            <w:r>
              <w:rPr/>
              <w:t>–</w:t>
            </w:r>
          </w:p>
        </w:tc>
        <w:tc>
          <w:tcPr>
            <w:tcW w:w="364" w:type="dxa"/>
            <w:tcBorders/>
            <w:shd w:fill="EEEEEE" w:val="clear"/>
            <w:vAlign w:val="center"/>
          </w:tcPr>
          <w:p>
            <w:pPr>
              <w:pStyle w:val="TableContents"/>
              <w:bidi w:val="0"/>
              <w:spacing w:before="0" w:after="283"/>
              <w:jc w:val="left"/>
              <w:rPr/>
            </w:pPr>
            <w:r>
              <w:rPr/>
              <w:t> </w:t>
            </w:r>
          </w:p>
        </w:tc>
      </w:tr>
      <w:tr>
        <w:trPr/>
        <w:tc>
          <w:tcPr>
            <w:tcW w:w="263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Forfeited</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374" w:name="xdx_986_eus-gaap--ShareBasedCompensation"/>
            <w:bookmarkEnd w:id="374"/>
          </w:p>
        </w:tc>
        <w:tc>
          <w:tcPr>
            <w:tcW w:w="38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73"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375" w:name="xdx_987_ecustom--ShareBasedCompensationA"/>
            <w:bookmarkEnd w:id="375"/>
          </w:p>
        </w:tc>
        <w:tc>
          <w:tcPr>
            <w:tcW w:w="3272"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364" w:type="dxa"/>
            <w:tcBorders/>
            <w:shd w:fill="FFFFFF" w:val="clear"/>
            <w:vAlign w:val="center"/>
          </w:tcPr>
          <w:p>
            <w:pPr>
              <w:pStyle w:val="TableContents"/>
              <w:bidi w:val="0"/>
              <w:spacing w:before="0" w:after="283"/>
              <w:jc w:val="left"/>
              <w:rPr/>
            </w:pPr>
            <w:r>
              <w:rPr/>
              <w:t> </w:t>
            </w:r>
          </w:p>
        </w:tc>
      </w:tr>
      <w:tr>
        <w:trPr/>
        <w:tc>
          <w:tcPr>
            <w:tcW w:w="263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Non-vested, June 30,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376" w:name="xdx_982_eus-gaap--ShareBasedCompensation"/>
            <w:bookmarkEnd w:id="376"/>
          </w:p>
        </w:tc>
        <w:tc>
          <w:tcPr>
            <w:tcW w:w="380" w:type="dxa"/>
            <w:tcBorders>
              <w:bottom w:val="double" w:sz="6" w:space="0" w:color="000000"/>
            </w:tcBorders>
            <w:shd w:fill="EEEEEE" w:val="clear"/>
            <w:tcMar>
              <w:bottom w:w="28" w:type="dxa"/>
            </w:tcMar>
            <w:vAlign w:val="center"/>
          </w:tcPr>
          <w:p>
            <w:pPr>
              <w:pStyle w:val="TableContents"/>
              <w:bidi w:val="0"/>
              <w:spacing w:before="0" w:after="283"/>
              <w:jc w:val="right"/>
              <w:rPr/>
            </w:pPr>
            <w:r>
              <w:rPr/>
              <w:t>577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73"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377" w:name="xdx_98C_eus-gaap--SharebasedCompensation"/>
            <w:bookmarkEnd w:id="377"/>
          </w:p>
        </w:tc>
        <w:tc>
          <w:tcPr>
            <w:tcW w:w="3272" w:type="dxa"/>
            <w:tcBorders>
              <w:bottom w:val="double" w:sz="6" w:space="0" w:color="000000"/>
            </w:tcBorders>
            <w:shd w:fill="EEEEEE" w:val="clear"/>
            <w:tcMar>
              <w:bottom w:w="28" w:type="dxa"/>
            </w:tcMar>
            <w:vAlign w:val="center"/>
          </w:tcPr>
          <w:p>
            <w:pPr>
              <w:pStyle w:val="TableContents"/>
              <w:bidi w:val="0"/>
              <w:spacing w:before="0" w:after="283"/>
              <w:jc w:val="right"/>
              <w:rPr/>
            </w:pPr>
            <w:r>
              <w:rPr/>
              <w:t>296.82</w:t>
            </w:r>
          </w:p>
        </w:tc>
        <w:tc>
          <w:tcPr>
            <w:tcW w:w="364"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378" w:name="xdx_80A_eus-gaap--CommitmentsAndContinge"/>
      <w:bookmarkEnd w:id="378"/>
      <w:r>
        <w:rPr>
          <w:rFonts w:ascii="Times New Roman;Times;Serif" w:hAnsi="Times New Roman;Times;Serif"/>
          <w:b/>
          <w:i w:val="false"/>
          <w:caps w:val="false"/>
          <w:smallCaps w:val="false"/>
          <w:sz w:val="20"/>
        </w:rPr>
        <w:t xml:space="preserve">Note 5 – </w:t>
      </w:r>
      <w:bookmarkStart w:id="379" w:name="xdx_82C_zpPUf87UCfJ1"/>
      <w:bookmarkEnd w:id="379"/>
      <w:r>
        <w:rPr>
          <w:rFonts w:ascii="Times New Roman;Times;Serif" w:hAnsi="Times New Roman;Times;Serif"/>
          <w:b/>
          <w:i w:val="false"/>
          <w:caps w:val="false"/>
          <w:smallCaps w:val="false"/>
          <w:sz w:val="20"/>
        </w:rPr>
        <w:t>Commitments and Contingencies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Executive Employment Agreements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1, 2017, the Company entered into an employment agreement with Mr. John Climaco pursuant to which Mr. Climaco agreed to serve as Chief Executive Officer and Director of the Company commencing on such date for an initial term of three years. On September 1, 2020, the Company entered into an amendment to the employment agreement with Mr. Climaco. The amendment extends the term of employment under the Employment Agreement, which was originally for a three-year period, for additional twelve-month periods, unless and until either the Company or Mr. Climaco provides written notice to the other party not less than sixty days before such anniversary date that such party is electing not to extend the term. If the Company provides notice of its election not to extend the term, Mr. Climaco may terminate his employment at any time prior to the expiration of the term by giving written notice to the Company at least thirty days prior to the effective date of termination, and upon the earlier of such effective date of termination or the expiration of the term, Mr. Climaco shall be entitled to receive the same severance benefits as are provided upon a termination of employment by the Company without cause. Pursuant to the Amendment, the severance benefits shall be twelve months of Mr. Climaco’s base salary. Such severance payment shall be made in a single lump sum sixty days following the termination, provided that Mr. Climaco has executed and delivered to the Company and has not revoked a general release of the Company. Pursuant to the employment agreement, the compensation committee of the board of directors reviews the base salary payable to Mr. Climaco annually during the term of the agreement. On February 6, 2021, the compensation committee of the board of directors set Mr. Climaco’s 2021 annual base salary to $</w:t>
      </w:r>
      <w:bookmarkStart w:id="380" w:name="xdx_907_ecustom--AnnualBaseSalary_c20210"/>
      <w:bookmarkEnd w:id="380"/>
      <w:r>
        <w:rPr>
          <w:rFonts w:ascii="Times New Roman;Times;Serif" w:hAnsi="Times New Roman;Times;Serif"/>
          <w:b w:val="false"/>
          <w:i w:val="false"/>
          <w:caps w:val="false"/>
          <w:smallCaps w:val="false"/>
          <w:sz w:val="20"/>
        </w:rPr>
        <w:t>525,000.</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28, 2019, we entered into employment letters with Drs. Silberman and Picker. Dr. Silberman agreed to commit 50% of her time to our matters and Dr. Picker agreed to commit 25% of his time to our matters.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March 2024, the Board of Directors approved, based upon the recommendation of the Compensation Committee, cash bonuses totaling $</w:t>
      </w:r>
      <w:bookmarkStart w:id="381" w:name="xdx_900_eus-gaap--AccruedBonusesCurrent_"/>
      <w:bookmarkEnd w:id="381"/>
      <w:r>
        <w:rPr>
          <w:rFonts w:ascii="Times New Roman;Times;Serif" w:hAnsi="Times New Roman;Times;Serif"/>
          <w:b w:val="false"/>
          <w:i w:val="false"/>
          <w:caps w:val="false"/>
          <w:smallCaps w:val="false"/>
          <w:sz w:val="20"/>
        </w:rPr>
        <w:t>240,608 to the officers of the Company payable upon completion of a subsequent round of financing and a determination by the Board that such financing is sufficient for the Company's needs after payment of such bonus.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Scientific Advisory Board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15, 2021, our Board approved the following compensation policy for the Scientific Advisory Board members. The Scientific Advisory board consisted of Dr. Waldemar Priebe, our founder, and Dr. Sigmond Hsu. Under this compensation policy, each scientific advisory board member was to receive annual cash compensation of $68,600. As of August 25, 2022, Dr. Waldemar Priebe was no longer a member of the Scientific Advisory Board. On March 14, 2024, the Board of Directors terminated the cash compensation program for the Scientific Advisory Board. As of June 30, 2024, the Company has accrued $</w:t>
      </w:r>
      <w:bookmarkStart w:id="382" w:name="xdx_90B_eus-gaap--DeferredCompensationLi"/>
      <w:bookmarkEnd w:id="382"/>
      <w:r>
        <w:rPr>
          <w:rFonts w:ascii="Times New Roman;Times;Serif" w:hAnsi="Times New Roman;Times;Serif"/>
          <w:b w:val="false"/>
          <w:i w:val="false"/>
          <w:caps w:val="false"/>
          <w:smallCaps w:val="false"/>
          <w:sz w:val="20"/>
        </w:rPr>
        <w:t>177,309 related to Mr. Hsu’s Scientific Advisory Board compensation.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83" w:name="xdx_239_zjgU366N7Tf2"/>
      <w:bookmarkEnd w:id="383"/>
      <w:r>
        <w:rPr>
          <w:caps w:val="false"/>
          <w:smallCaps w:val="false"/>
        </w:rPr>
        <w:t> </w:t>
      </w:r>
    </w:p>
    <w:p>
      <w:pPr>
        <w:pStyle w:val="TextBody"/>
        <w:bidi w:val="0"/>
        <w:spacing w:before="0" w:after="0"/>
        <w:ind w:left="0" w:right="0" w:hanging="0"/>
        <w:jc w:val="left"/>
        <w:rPr>
          <w:caps w:val="false"/>
          <w:smallCaps w:val="false"/>
        </w:rPr>
      </w:pPr>
      <w:bookmarkStart w:id="384" w:name="xdx_232_zzPkRIBCWpJl"/>
      <w:bookmarkEnd w:id="384"/>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13</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85" w:name="xdx_234_zCUxqbWuQOyc"/>
      <w:bookmarkEnd w:id="385"/>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WP744 Portfolio (Berubicin)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2017, the Company entered into a Collaboration and Asset Purchase Agreement with Reata Pharmaceuticals, Inc. (“Reata”). Through this agreement, the Company purchased all of Reata’s rights, title, interest and previously conducted research and development results in the chemical compound commonly known as Berubicin. In exchange for these rights, the Company agreed to pay Reata an amount equal to 2.25% of the net sales of Berubicin for a period of 10 years from the Company’s first commercial sale of Berubicin plus $10,000. Reata also agreed to collaborate with the Company on the development of Berubicin, from time to time.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28, 2017, the Company entered into a Technology Rights and Development Agreement with Houston Pharmaceuticals, Inc. (“HPI”). HPI is affiliated with Dr. Waldemar Priebe, our founder. Pursuant to this agreement, the Company obtained a worldwide exclusive license to the chemical compound commonly known as WP744. In exchange for these rights, the Company agreed to pay consideration to HPI as follows: (i) a royalty of 2% of net sales of any product utilizing WP744 for a period of ten years after the first commercial sale of such; and (ii) $100,000 upon beginning Phase II clinical trials (paid in 2021); and (iii) $200,000 upon the approval by the FDA of a New Drug Application for any product utilizing WP744; and (iv) a series of quarterly development payments totaling $750,000 beginning immediately after the Company’s raise of $7,000,000 of investment capital. In addition, the Company issued 134 shares of the Company’s common stock valued at $67.50 per share to HPI upon execution of the agreement. On November 13, 2019, the Company closed its IPO, thereby fulfilling all conditions precedent and completing the acquisition of the intellectual property discussed in the HPI agreement. During the six months ended June 30, 2024 and 2023, the Company recognized $</w:t>
      </w:r>
      <w:bookmarkStart w:id="386" w:name="xdx_906_eus-gaap--RoyaltyIncomeNonoperat"/>
      <w:bookmarkEnd w:id="386"/>
      <w:r>
        <w:rPr>
          <w:rFonts w:ascii="Times New Roman;Times;Serif" w:hAnsi="Times New Roman;Times;Serif"/>
          <w:b w:val="false"/>
          <w:i w:val="false"/>
          <w:caps w:val="false"/>
          <w:smallCaps w:val="false"/>
          <w:sz w:val="20"/>
        </w:rPr>
        <w:t>25,000 and $</w:t>
      </w:r>
      <w:bookmarkStart w:id="387" w:name="xdx_90B_eus-gaap--RoyaltyIncomeNonoperat"/>
      <w:bookmarkEnd w:id="387"/>
      <w:r>
        <w:rPr>
          <w:rFonts w:ascii="Times New Roman;Times;Serif" w:hAnsi="Times New Roman;Times;Serif"/>
          <w:b w:val="false"/>
          <w:i w:val="false"/>
          <w:caps w:val="false"/>
          <w:smallCaps w:val="false"/>
          <w:sz w:val="20"/>
        </w:rPr>
        <w:t>25,000 related to this agreement. Unrelated to this agreement, from time to time, the Company purchases pharmaceutical products from HPI which are necessary for the manufacturing of Berubicin API and drug product in related party transactions which are reviewed and approved by the Company’s audit committee based upon the standards of providing superior pricing and time to delivery than that available from unrelated third parties. On May 14, 2024, the Company provided notice to HPI of its intent to terminate the HPI License effective on or about July 14,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30, 2018, we entered into a sublicense agreement with WPD Pharmaceuticals, Inc. (“WPD”). Pursuant to the agreement, the Company granted WPD an exclusive sublicense, even as to us, for the patent rights we licensed pursuant to the HPI License within the following countries: Poland, Estonia, Latvia, Lithuania, Belarus, Ukraine, Moldova, Romania, Bulgaria, Serbia, Macedonia, Albania, Armenia, Azerbaijan, Georgia, Montenegro, Bosnia, Croatia, Slovenia, Slovakia, Czech Republic, Hungary, Chechnya, Uzbekistan, Kazakhstan, Kyrgyzstan, Tajikistan, Turkmenistan, Greece, Austria, and Russia. The sublicense agreement provides that WPD must use commercially reasonable development efforts to attempt to develop and commercialize licensed products in the above mentioned territories, which means the expenditure of at least $2.0 million on the development, testing, regulatory approval or commercialization of the licensed products during the three year period immediately following the date of the sublicense agreement. In the event that WPD fails to use commercially reasonable development efforts by the foregoing three-year deadline, we have the right to terminate this sublicense agreement. As of December 31, 2021, the Company has received reports of the WPD expenditures related to this agreement, has conducted due inquiry into validating those expenditures, and has determined that WPD has exercised commercially reasonable development efforts and has therefore fulfilled the terms of the agreement necessary to secure their rights under the sublicense in perpetuity subject to the ongoing obligations of the sublicense. In consideration for the rights granted under the sublicense agreement, to the extent we are required to make any payments to HPI pursuant to the HPI License as a result of this sublicense agreement, WPD agreed to advance us such payments, and to pay us a royalty equal to 1% of such payments. WPD is a Polish corporation that is majority-owned by an entity controlled by Dr. Priebe, our founder.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31, 2018, the Company entered into a sublicense agreement with Animal Life Sciences, LLC (“ALI”), a related party, pursuant to which we granted ALI an exclusive sublicense, even as to us, for the patent rights we licensed pursuant to the HPI License solely for the treatment of cancer in non-human animals through any type of administration. In consideration for the rights granted under the sublicense agreement, ALI agreed to issue us membership interests in ALI equal to 1.52% of the outstanding ALI membership interests. As additional consideration for the rights granted, to the extent we are required to make any payments to HPI pursuant to the HPI License as a result of this sublicense agreement, ALI agreed to advance us such payments, and to pay us a royalty equal to 1% of such payments. Dr. Waldemar Priebe, our founder, is also the founder and a shareholder of ALI.</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88" w:name="xdx_237_zVSP7Big4BQd"/>
      <w:bookmarkEnd w:id="388"/>
      <w:r>
        <w:rPr>
          <w:caps w:val="false"/>
          <w:smallCaps w:val="false"/>
        </w:rPr>
        <w:t> </w:t>
      </w:r>
    </w:p>
    <w:p>
      <w:pPr>
        <w:pStyle w:val="TextBody"/>
        <w:bidi w:val="0"/>
        <w:spacing w:before="0" w:after="0"/>
        <w:ind w:left="0" w:right="0" w:hanging="0"/>
        <w:jc w:val="left"/>
        <w:rPr>
          <w:caps w:val="false"/>
          <w:smallCaps w:val="false"/>
        </w:rPr>
      </w:pPr>
      <w:bookmarkStart w:id="389" w:name="xdx_231_zZkQnmx4xYfi"/>
      <w:bookmarkEnd w:id="389"/>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14</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90" w:name="xdx_237_zjj7acvBqSG2"/>
      <w:bookmarkEnd w:id="390"/>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10, 2020, the FDA granted Orphan Drug Designation (“ODD”) for Berubicin for the treatment of malignant gliomas. ODD from the FDA is available for drugs targeting diseases with less than 200,000 cases per year. ODD may enable market exclusivity of 7 years from the date of approval of an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now constitutes our primary intellectual property protections although the Company is exploring if there are other patents that could be filed related to Berubicin to extend additional protections.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24, 2021, the Company received Fast Track Designation from the FDA for Berubicin. Fast Track Designation is designed to facilitate the development and expedite the review of drugs to treat serious conditions and fill an unmet medical need.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WP1244 Portfolio</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10, 2020, Company entered into a Patent and Technology License Agreement (the “WP1244 Agreement”) with The Board of Regents of The University of Texas System, an agency of the State of Texas, on behalf of The University of Texas M. D. Anderson Cancer Center (“UTMDACC”). Pursuant to the WP1244 Agreement, the Company obtained a royalty-bearing, worldwide, exclusive license to certain intellectual property rights, including patent rights, related to the Company’s recently announced WP1244 drug technology. In consideration, the Company must make payments to UTMDACC including an up-front license fee, annual maintenance fee, milestone payments and royalty payments (including minimum annual royalties) on sales of licensed products developed under the WP1244 Agreement. The term of the WP1244 Agreement expires on the last to occur of: (a) the expiration of all patents subject to the WP1244 Agreement, or (b) fifteen years after execution; provided that UTMDACC has the right to terminate this WP1244 Agreement in the event that the Company fails to meet certain commercial diligence milestones. The commercial diligence milestones are as follows (i) initiated PC toxicology to support filing of Investigational New Drug Application (“IND”) or New Drug Application (“NDA”) for the Licensed Product within the eighteen (18) month period following the Effective Date (ii) file and IND for the Licensed Product within three (3) year period following the Effective Date and (iii) Commencement of Phase I Study within the five (5) year period following the Effective Date. The Company has not met the commercial diligence milestones and has not paid the annual maintenance fee required as of the date hereof. On April 25, 2024, UTMDACC provided notice to the Company of its intent to terminate the WP1244 Agreement if the Company fails to pay the annual maintenance fee of $50,000, as well as $1,300 in expenses. On May 25, 2024 the WP1244 Agreement was terminated. There are no termination penalty provisions in the Agreement. During the six months ended June 30, 2024 and 2023, the Company paid $</w:t>
      </w:r>
      <w:bookmarkStart w:id="391" w:name="xdx_90C_eus-gaap--OtherNonoperatingExpen"/>
      <w:bookmarkEnd w:id="391"/>
      <w:r>
        <w:rPr>
          <w:rFonts w:ascii="Times New Roman;Times;Serif" w:hAnsi="Times New Roman;Times;Serif"/>
          <w:b w:val="false"/>
          <w:i w:val="false"/>
          <w:caps w:val="false"/>
          <w:smallCaps w:val="false"/>
          <w:sz w:val="20"/>
        </w:rPr>
        <w:t>1,994 and $</w:t>
      </w:r>
      <w:bookmarkStart w:id="392" w:name="xdx_90B_eus-gaap--OtherNonoperatingExpen"/>
      <w:bookmarkEnd w:id="392"/>
      <w:r>
        <w:rPr>
          <w:rFonts w:ascii="Times New Roman;Times;Serif" w:hAnsi="Times New Roman;Times;Serif"/>
          <w:b w:val="false"/>
          <w:i w:val="false"/>
          <w:caps w:val="false"/>
          <w:smallCaps w:val="false"/>
          <w:sz w:val="20"/>
        </w:rPr>
        <w:t>27,341, respectively.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Nasdaq Capital Markets Listing Qualifications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17, 2023, the Company was notified by the Listing Qualifications Department (the “Staff”) of the Nasdaq Stock Market (“Nasdaq”) that the Company was not in compliance with the minimum $</w:t>
      </w:r>
      <w:bookmarkStart w:id="393" w:name="xdx_90C_eus-gaap--StockholdersEquityOthe"/>
      <w:bookmarkEnd w:id="393"/>
      <w:r>
        <w:rPr>
          <w:rFonts w:ascii="Times New Roman;Times;Serif" w:hAnsi="Times New Roman;Times;Serif"/>
          <w:b w:val="false"/>
          <w:i w:val="false"/>
          <w:caps w:val="false"/>
          <w:smallCaps w:val="false"/>
          <w:sz w:val="20"/>
        </w:rPr>
        <w:t>2,500,000 stockholders’ equity requirement for continued listing set forth in Listing Rule 5550(b). On February 27, 2024, the Staff notified the Company that it did not comply with the $1.00 minimum bid price requirement set forth under Listing Rule 5550(a)(2). On February 14, 2024, the Company was notified that because it had not regained compliance with the Nasdaq equity requirement, its securities would be delisted unless it requested a hearing. On February 21, 2024, the Company requested a hearing, which was held on April 18,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May 6, 2024, the Company received notification from the Nasdaq Hearings Panel (“Panel”) that it had granted an extension until July 15, 2024, which was extended until August 12, 2024 to demonstrate compliance with Listing Rules 5550(a)(2) and 5550(b).</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94" w:name="xdx_23D_zn9vmsVN3Ma7"/>
      <w:bookmarkEnd w:id="394"/>
      <w:r>
        <w:rPr>
          <w:caps w:val="false"/>
          <w:smallCaps w:val="false"/>
        </w:rPr>
        <w:t> </w:t>
      </w:r>
    </w:p>
    <w:p>
      <w:pPr>
        <w:pStyle w:val="TextBody"/>
        <w:bidi w:val="0"/>
        <w:spacing w:before="0" w:after="0"/>
        <w:ind w:left="0" w:right="0" w:hanging="0"/>
        <w:jc w:val="left"/>
        <w:rPr>
          <w:caps w:val="false"/>
          <w:smallCaps w:val="false"/>
        </w:rPr>
      </w:pPr>
      <w:bookmarkStart w:id="395" w:name="xdx_231_zgJr4iAenSP1"/>
      <w:bookmarkEnd w:id="395"/>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15</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96" w:name="xdx_23B_zHbdSuVjuCM5"/>
      <w:bookmarkEnd w:id="396"/>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5, 2024, the Company received a letter from the Nasdaq Staff notifying the Company that it had regained compliance with Bid Price Rule as a result of the closing bid price of the Company’s common stock being at $</w:t>
      </w:r>
      <w:bookmarkStart w:id="397" w:name="xdx_90B_ecustom--ClosingBidPricePerShare"/>
      <w:bookmarkEnd w:id="397"/>
      <w:r>
        <w:rPr>
          <w:rFonts w:ascii="Times New Roman;Times;Serif" w:hAnsi="Times New Roman;Times;Serif"/>
          <w:b w:val="false"/>
          <w:i w:val="false"/>
          <w:caps w:val="false"/>
          <w:smallCaps w:val="false"/>
          <w:sz w:val="20"/>
        </w:rPr>
        <w:t>1.00 per share or greater for the 20 consecutive business days from June 5, 2024, through July 3, 2024. Accordingly, the Company is in compliance with the Bid Price Rule.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7, 2024, the Company filed Form 8-K with the SEC indicating that as of that date, the Company’s shareholders’ equity was above the $</w:t>
      </w:r>
      <w:bookmarkStart w:id="398" w:name="xdx_90C_eus-gaap--StockholdersEquityOthe"/>
      <w:bookmarkEnd w:id="398"/>
      <w:r>
        <w:rPr>
          <w:rFonts w:ascii="Times New Roman;Times;Serif" w:hAnsi="Times New Roman;Times;Serif"/>
          <w:b w:val="false"/>
          <w:i w:val="false"/>
          <w:caps w:val="false"/>
          <w:smallCaps w:val="false"/>
          <w:sz w:val="20"/>
        </w:rPr>
        <w:t>2.5 million continued listing equity requirement as set forth in Listing Rule 5550(b)(1).</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399" w:name="xdx_808_eus-gaap--SubsequentEventsTextBl"/>
      <w:bookmarkEnd w:id="399"/>
      <w:r>
        <w:rPr>
          <w:rFonts w:ascii="Times New Roman;Times;Serif" w:hAnsi="Times New Roman;Times;Serif"/>
          <w:b/>
          <w:i w:val="false"/>
          <w:caps w:val="false"/>
          <w:smallCaps w:val="false"/>
          <w:sz w:val="20"/>
        </w:rPr>
        <w:t xml:space="preserve">Note 6 – </w:t>
      </w:r>
      <w:bookmarkStart w:id="400" w:name="xdx_826_z4kOX2zSZFK9"/>
      <w:bookmarkEnd w:id="400"/>
      <w:r>
        <w:rPr>
          <w:rFonts w:ascii="Times New Roman;Times;Serif" w:hAnsi="Times New Roman;Times;Serif"/>
          <w:b/>
          <w:i w:val="false"/>
          <w:caps w:val="false"/>
          <w:smallCaps w:val="false"/>
          <w:sz w:val="20"/>
        </w:rPr>
        <w:t>Subsequent Events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3, 2024, the Company entered into securities purchase agreements with institutional investors for the sale by the Company of 1,425,000 shares of the Company’s common stock in a registered direct offering. In a concurrent private placement, the Company also sold to the investors unregistered warrants to purchase up to an aggregate of 1,425,000 shares of common stock (the “July 3 Common Warrants”). The combined purchase price of one share of common stock and accompanying July 3 Common Warrant is $1.39. The closing of this offering and private placement occurred on July 5,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Subject to certain ownership limitations, each of the July 3 Common Warrants is immediately exercisable, has an exercise price of $1.26 per share, and expire five years from the date of issuance. The gross proceeds to the Company from the offering were approximately $1.98 million, before deducting the financial advisor fees and other estimated offering expenses payable by the Company, and excluding the proceeds, if any, from the exercise of the Common Warrants.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26, 2024, the Company entered into a Sales Agreement (the “AGP ATM Sales Agreement”) with A.G.P./Alliance Global Partners (“AGP”). Pursuant to the terms of the AGP ATM Sales Agreement, the Company originally was permitted to sell from time to time through AGP, as sales agent or principal, shares of the Company’s common stock, par value $0.001 per share with initial aggregate sales price of up to $5.2 million. On July 30, 2024, the Company increased the aggregate sales price of common shares that may be sold under the AGP ATM Sales Agreement to $25.0 million (not including the original $5.2 million). As of August 14, 2024, the Company has sold 28,704,761 Shares pursuant to the Agreement for net proceeds of approximately $10.5 million.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29, 2024, the Company entered into an Exclusive License Agreement and Stock Purchase Agreement (collectively, the “Cortice Agreements”) with Cortice Biosciences, Inc. (“Cortice”) pursuant to which Cortice granted the Company an exclusive license to the intellectual property rights related to certain patents around the compound TPI 287 in the United States, Canada, Mexico and Japan. The term of the license will expire, other than due to a breach of the Cortice Agreements, at the end of the royalty term with respect to any licensed product in any of the included territories, which begins upon the first commercial sale in such territory and ends on the latest of (i) ten years after such sale, (ii) the expiration of regulatory or marketing exclusivity for such licensed product in such country, or (c) the expiration of the last to expire valid patent claim in such country covering such licensed product.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Cortice Agreements, the Company agreed to issue Cortice 573,368 shares of the Company’s common stock upon the closing of the transaction, which occurred on July 29, 2024, and 43,330 shares of Company common stock upon the receipt of shareholder approval of such issuance as required by the rules of the Nasdaq Stock Market. The Company also agreed to make milestone payments to Cortice in either cash or shares of Company common stock (at Cortice’s option) upon: (i) meeting the primary endpoint a pivotal trial for a licensed product – either $15.0 million or 411,132 shares of Company common stock; (ii) FDA acceptance of an New Drug Application for a licensed product – either $30.0 million or 822,264 shares of Company common stock; (iii) the first commercial sale in the United States of a licensed product – either $45.0 million or 1,233,395 shares of Company common stock; and (iv) the first commercial sale in Japan of a licensed product – either $10.0 million or 205,566 shares of Company common stock. The Company’s obligation to pay the above milestones in Company common stock is subject to the receipt of shareholder approval as required by the rules of the Nasdaq Stock Market. The Company also agreed to pay Cortice royalties on sales of licensed products of between 3.0%-7.5%. Finally, to the extent Cortice is required to pay any milestone payments to the original holder of the intellectual property rights licensed, the Company has agreed to make such payments to Cortice.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401" w:name="xdx_817_z5xKfyTGLHP5"/>
      <w:bookmarkEnd w:id="401"/>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43"/>
        <w:gridCol w:w="9462"/>
      </w:tblGrid>
      <w:tr>
        <w:trPr/>
        <w:tc>
          <w:tcPr>
            <w:tcW w:w="743"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2.</w:t>
            </w:r>
          </w:p>
        </w:tc>
        <w:tc>
          <w:tcPr>
            <w:tcW w:w="9462" w:type="dxa"/>
            <w:tcBorders/>
            <w:vAlign w:val="center"/>
          </w:tcPr>
          <w:p>
            <w:pPr>
              <w:pStyle w:val="TableContents"/>
              <w:bidi w:val="0"/>
              <w:spacing w:before="0" w:after="283"/>
              <w:jc w:val="left"/>
              <w:rPr>
                <w:rFonts w:ascii="Times New Roman;Times;Serif" w:hAnsi="Times New Roman;Times;Serif"/>
                <w:b/>
                <w:sz w:val="20"/>
              </w:rPr>
            </w:pPr>
            <w:bookmarkStart w:id="402" w:name="q2_009"/>
            <w:bookmarkEnd w:id="402"/>
            <w:r>
              <w:rPr>
                <w:rFonts w:ascii="Times New Roman;Times;Serif" w:hAnsi="Times New Roman;Times;Serif"/>
                <w:b/>
                <w:sz w:val="20"/>
              </w:rPr>
              <w:t>MANAGEMENT'S DISCUSSION AND ANALYSIS OF FINANCIAL CONDITION AND RESULTS OF OPERATIONS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You should read the following discussion and analysis of our financial condition and results of operations in conjunction with the financial statements and the related notes appearing elsewhere in this Form 10-Q. This discussion contains forward-looking statements reflecting our current expectations that involve risks and uncertainties. See Item 1A. “Risk Factors” of our Form 10-K for the year ended December 31, 2023, available on the Security and Exchange Commission's (“SEC”) EDGAR website at www.sec.gov, for a discussion of the uncertainties, risks and assumptions associated with these statements. Actual results and the timing of events could differ materially from those discussed in our forward-looking statements as a result of many factors, including those set forth under “Risk Factors” and elsewhere in this Form 10-Q.</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CAUTIONARY NOTE REGARDING FORWARD-LOOKING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make forward-looking statements under the “Management’s Discussion and Analysis of Financial Condition and Results of Operations” and in other sections of this Form 10-Q. In some cases, you can identify these statements by forward-looking words such as “may,” “might,” “should,” “would,” “could,” “expect,” “plan,” “anticipate,” “intend,” “believe,” “estimate,” “predict,” “potential” or “continue,” and the negative of these terms and other comparable terminology. These forward-looking statements, which are subject to known and unknown risks, uncertainties and assumptions about us, may include projections of our future financial performance based on our growth strategies and anticipated trends in our business. These statements are only predictions based on our current expectations and projections about future events. There are important factors that could cause our actual results, level of activity, performance or achievements to differ materially from the results, level of activity, performance or achievements expressed or implied by the forward-looking statements. In particular, you should consider the numerous risks and uncertainties described under Item 1A. “Risk Factors” of our Form 10-K for the year ended December 31, 2023 and in other filings made by us from time to time with the SEC.</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While we believe we have identified material risks, these risks and uncertainties are not exhaustive. Other sections of this Form 10-Q may describe additional factors that could adversely impact our business and financial performance. Moreover, we operate in a very competitive and rapidly changing environment. New risks and uncertainties emerge from time to time, and it is not possible to predict all risks and uncertainties, nor can we assess the impact of all factors on our business or the extent to which any factor, or combination of factors, may cause actual results to differ materially from those contained in any forward-looking statements.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Although we believe the expectations reflected in the forward-looking statements are reasonable, we cannot guarantee future results, level of activity, performance or achievements. Moreover, neither we nor any other person assumes responsibility for the accuracy or completeness of any of these forward-looking statements. You should not rely upon forward-looking statements as predictions of future events. We are under no duty to update any of these forward-looking statements after the date of this Form 10-Q to conform our prior statements to actual results or revised expectations, and we do not intend to do so.</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Forward-looking statements include, but are not limited to, statements about:</w:t>
      </w:r>
    </w:p>
    <w:p>
      <w:pPr>
        <w:pStyle w:val="TextBody"/>
        <w:bidi w:val="0"/>
        <w:spacing w:before="0" w:after="0"/>
        <w:ind w:left="0" w:right="0" w:firstLine="720"/>
        <w:jc w:val="left"/>
        <w:rPr>
          <w:caps w:val="false"/>
          <w:smallCaps w:val="false"/>
        </w:rPr>
      </w:pPr>
      <w:r>
        <w:rPr>
          <w:caps w:val="false"/>
          <w:smallCaps w:val="false"/>
        </w:rPr>
        <w:t> </w:t>
      </w:r>
    </w:p>
    <w:tbl>
      <w:tblPr>
        <w:tblW w:w="6310" w:type="dxa"/>
        <w:jc w:val="left"/>
        <w:tblInd w:w="0" w:type="dxa"/>
        <w:tblLayout w:type="fixed"/>
        <w:tblCellMar>
          <w:top w:w="0" w:type="dxa"/>
          <w:left w:w="0" w:type="dxa"/>
          <w:bottom w:w="0" w:type="dxa"/>
          <w:right w:w="0" w:type="dxa"/>
        </w:tblCellMar>
      </w:tblPr>
      <w:tblGrid>
        <w:gridCol w:w="75"/>
        <w:gridCol w:w="95"/>
        <w:gridCol w:w="614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1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maintain our listing on the Nasdaq Capital Market;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14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1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obtain additional funding to develop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14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1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need to obtain regulatory approval of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14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1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success of our clinical trials through all phases of clinical development;</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tbl>
      <w:tblPr>
        <w:tblW w:w="7705" w:type="dxa"/>
        <w:jc w:val="left"/>
        <w:tblInd w:w="0" w:type="dxa"/>
        <w:tblLayout w:type="fixed"/>
        <w:tblCellMar>
          <w:top w:w="0" w:type="dxa"/>
          <w:left w:w="0" w:type="dxa"/>
          <w:bottom w:w="0" w:type="dxa"/>
          <w:right w:w="0" w:type="dxa"/>
        </w:tblCellMar>
      </w:tblPr>
      <w:tblGrid>
        <w:gridCol w:w="75"/>
        <w:gridCol w:w="95"/>
        <w:gridCol w:w="75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compliance with obligations under intellectual property licenses with third parties;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any delays in regulatory review and approval of product candidates in clinical development;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commercialize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market acceptance of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competition from existing products or new products that may emerge;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potential product liability claims;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dependency on third-party manufacturers to supply or manufacture our products;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establish or maintain collaborations, licensing or other arrangements;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and third parties’ abilities to protect intellectual property rights;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adequately support future growth;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attract and retain key personnel to manage our business effectively.</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caution you not to place undue reliance on the forward-looking statements, which speak only as of the date of this Form 10-Q in the case of forward-looking statements contained in this Form 10-Q.</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You should not rely upon forward-looking statements as predictions of future events. Our actual results and financial condition may differ materially from those indicated in the forward-looking statements. We qualify all of our forward-looking statements by these cautionary statements. Although we believe that the expectations reflected in the forward-looking statements are reasonable, we cannot guarantee future results, levels of activity, performance or achievements. Therefore, you should not rely on any of the forward-looking statements. In addition, with respect to all of our forward-looking statements, we claim the protection of the safe harbor for forward-looking statements contained in the Private Securities Litigation Reform Act of 1995.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Overview</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 clinical pharmaceutical company organized as a Nevada corporation in July 2017 to focus on the development of anti-cancer drug candidates for the treatment of brain and central nervous system tumors, based on intellectual property that we license under license agreements with Houston Pharmaceuticals, Inc. (“HPI”) and The University of Texas M.D. Anderson Cancer Center (“UTMDACC”) and own pursuant to a collaboration and asset purchase agreement with Reata Pharmaceuticals, Inc. (“Reata”).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our lead drug candidate, Berubicin, may be a significant development in the treatment of Glioblastoma and other CNS malignancies, and if approved by the U.S. Food and Drug Administration (“FDA”), could give Glioblastoma patients an important new therapeutic alternative to the current standard of care. Glioblastomas are tumors that arise from astrocytes, which are star-shaped cells making up the supportive tissue of the brain. These tumors are usually highly malignant (cancerous) because the cells reproduce quickly, and they are supported by a large network of blood vessels. Berubicin is an anthracycline, which is a class of drugs that are among the most powerful and extensively used chemotherapy drugs known. Based on limited clinical data, we believe Berubicin is the first anthracycline that appears to cross the blood brain barrier (“BBB”) in significant concentrations targeting brain cancer cells. While our focus is currently on the development of Berubicin, we are also in the process of attempting to secure intellectual property rights to additional compounds that we plan to develop into drugs to treat CNS and other cancers.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Berubicin was discovered at UTMDACC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initiated this trial for patient enrollment during the second quarter of 2021 with the first patient dosed during the third quarter of 2021 to investigate the safety and efficacy of Berubicin in adults with Glioblastoma Multiforme who have failed first-line therapy. The first patient on the trial was treated during the third quarter of 2021. Correspondence between the Company and the FDA resulted in modifications to our initial trial design, including designating overall survival (OS) as the primary endpoint of the study. OS is a rigorous endpoint that the FDA has recognized as a basis for approval of oncology drugs when a statistically significant improvement can be shown relative to a randomized control arm.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current trial being conducted will evaluate the safety and efficacy of Berubicin in patients with Glioblastoma Multiforme who have failed primary treatment for their disease, and results will be compared to the safety and efficacy of Lomustine, a current standard of care in this setting, with a 2 to 1 randomization of the 252 patients to Berubicin or Lomustine. Patients receiving Berubicin are administered a 2-hour IV infusion of 7.5 mg/m2 berubicin hydrochloride daily for three consecutive days followed by 18 days off (a 21-day cycle). Lomustine is administered orally once every six weeks. The trial design included a pre-planned, non-binding interim futility analysis. We reached the criteria required by the study protocol to conduct this interim futility analysis, which an independent Data Safety Monitoring Board (“DSMB”) is responsible for conducting. The DSMB’s charter mandated that they review the primary endpoint, Overall Survival, as well as secondary endpoints and safety data to determine whether the efficacy data for the risk-benefit profile warrants modification or discontinuation of the study. On December 18, 2023, we released the DSMB’s recommendation which was to continue the study without modification. Management remains blinded to the data underlying the recommendation of the DSMB. Even if Berubicin is approved, there is no assurance that patients will choose an infusion treatment, as compared to the current standard of care, which requires oral administration.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manufacturing facilities and all manufacturing activities are contracted out to third parties. Additionally, we do not have a sales organization.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28, 2017, we obtained the rights to a worldwide, exclusive royalty-bearing, license to the chemical compound commonly known as Berubicin from HPI in an agreement we refer to as the HPI License. HPI is affiliated with Dr. Priebe, who controls a majority of our shares. Under the HPI License we obtained the exclusive right to develop certain chemical compounds for use in the treatment of cancer anywhere in the world. In the HPI License we agreed to pay HPI: (i) development fees of $750,000 over a three-year period beginning November 2019; (ii) a 2% royalty on net sales; (iii) a $50,000 per year license fee; (iv) milestone payments of $100,000 upon the commencement of a Phase II trial and $1.0 million upon the approval of a New Drug Application (“NDA”) for Berubicin; and (v) 134 shares of our common stock. The patents we licensed from HPI expired in March 2020. On May 14, 2024, the Company provided notice to HPI of its intent to terminate the HPI License effective on or about July 14, 2024.</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10, 2020, the FDA granted Orphan Drug Designation (“ODD”) for Berubicin for the treatment of malignant gliomas. ODD from the FDA is available for drugs targeting diseases with less than 200,000 cases per year. ODD may enable market exclusivity of 7 years from the date of approval of a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now constitutes our primary intellectual property protections although the Company is exploring if there are other patents that could be filed related to Berubicin to extend additional protections.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we have obtained all rights and intellectual property necessary to develop Berubicin. As stated earlier, it is our plan to obtain additional intellectual property covering other compounds which, subject to the receipt of additional financing, may be developed into drugs for brain and other cancers.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10, 2020, we entered into a Patent and Technology License Agreement (the “WP1244 Agreement”) with The Board of Regents of The University of Texas System, an agency of the State of Texas, on behalf of the UTMDACC. Pursuant to the WP1244 Agreement, we obtained a royalty-bearing, worldwide, exclusive license to certain intellectual property rights, including patent rights, related to our portfolio of WP1244 drug technology. On April 25, 2024, UTMDACC provided notice to us if its intent to terminate the WP1244 Agreement if we fail to pay the annual maintenance fee of $50,000, as well as $1,300 in expenses. On May 25, 2024 the WP1244 Agreement was terminated. There are no termination penalty provisions in the Agreement.</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Results of Operations for the Three Months Ended June 30, 2024 Compared to the Three Months Ended June 30, 2023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General and Administrative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General and administrative expense was approximately $1,412,000 for the three months ended June 30, 2024 compared to approximately $1,180,000 for the comparable period in 2023. The increase in general and administrative expense was mainly attributable to increases of approximately $333,000 in legal and professional expenses, which were offset by decreases of approximately $65,000 in marketing and advertising expenses, $34,000 in insurance expense and $2,000 in other expenses.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Research and Development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Research and development expense was approximately $1,117,000 for the three months ended June 30, 2024 compared to approximately $2,846,000 for the comparable period in 2023. The decrease in research and development expenses during the period were mainly attributed to the timing of research organization (CRO) expenses related to continued progress with our potentially pivotal Phase II clinical trial of Berubicin. Our CRO expenditures are primarily for labor related to activating selected trial sites, managing patient enrollment processes, collecting and managing data from patient treatments throughout the trial, processing reimbursement to the sites for patient treatment, and assisting with necessary submissions to amend the IND. CRO expenditures are expected to continue to decline throughout the remainder of the trial as the final patients complete treatment and enter follow-up.</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Loss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net loss for the three months ended June 30, 2024 was approximately $2,531,000 compared to approximately $4,021,000 for the comparable period in 2023. The change in net loss is attributable to a decrease in CRO expenses related to continued progress with our potentially pivotal Phase II clinical trial of Berubicin, as well as decreases in legal and professional fees and other expenses.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Results of Operations for the Six Months Ended June 30, 2024 Compared to the Six Months Ended June 30, 2023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General and Administrative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General and administrative expense was approximately $2,526,000 for the six months ended June 30, 2024 compared to approximately $2,539,000 for the comparable period in 2023. The increase in general and administrative expense was mainly attributable to increases of approximately $179,000 in legal and professional expenses, which were offset by decreases of approximately $75,000 in stock- based compensation, $46,000 in marketing and advertising expense and $54,000 in insurance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Research and Development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Research and development expense was approximately $3,547,000 for the six months ended June 30, 2024 compared to approximately $6,413,000 for the comparable period in 2023. The decrease in research and development expenses during the period were mainly attributed to the timing of research organization (CRO) expenses related to continued progress with our Phase II clinical trial. Our CRO expenditures are primarily for labor related to activating selected trial sites, managing patient enrollment processes, collecting and managing data from patient treatments throughout the trial, processing reimbursement to the sites for patient treatment, and assisting with necessary submissions to amend the IND. CRO expenditures are expected to continue to decline throughout the remainder of the trial as the final patients complete treatment and enter follow-up.</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Loss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net loss for the six months ended June 30, 2024 was approximately $6,076,000 compared to approximately $8,953,000 for the comparable period in 2023. The change in net loss is attributable to a decrease in CRO expenses related to continued progress with our potentially pivotal Phase II clinical trial of Berubicin, as well as decreases in legal and professional fees and other expenses.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Liquidity and Capital Resources</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30, 2024, we had cash of approximately $1,492,000 and we had a working capital deficit of approximately $4,617,000. We fund our operations from proceeds from equity sales.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29, 2024, we completed a public offering of (i) 44,314 shares of our common stock; (ii) pre-funded warrants to purchase 222,354 shares of common stock; (iii) Series A Warrants to purchase up to an aggregate of 266,667 shares of common stock; and (iv) Series B Warrants to purchase up to an aggregate of 266,667 shares of common stock. The combined purchase price of one share of common stock and accompanying Series A &amp; B common warrants was $15 and the combined purchase price of one pre-funded warrant and accompanying Series A &amp; B common warrants was $14.95 (with the pre-funded warrants having an exercise price of $0.001). The closing of the sales of these securities occurred on February 1, 2024. The gross proceeds from the offering were approximately $4.0 million, before deducting the placement agent’s fees and other offering expenses.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14, 2024, we entered into agreements with institutional investors for the sale of 336,000 shares of our common stock and pre-funded warrants to purchase 30,000 shares of common stock in lieu thereof (the “June 14 Pre-Funded Warrants”) in a registered direct offering. In a concurrent private placement, we also sold to the investors unregistered warrants to purchase up to an aggregate of 366,000 shares of common stock (the “June 14 Common Warrants”). The combined purchase price of one share of common stock (or pre-funded warrant in lieu thereof) and accompanying June 14 Common Warrant was $3.75. The gross proceeds from the offering were approximately $1.37 million, resulting in net proceeds, after payment of commissions and expenses, received by us of $1,203,267.</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26, 2024, we entered into agreements with institutional investors for the sale of 568,000 shares of our common stock in a registered direct offering. In a concurrent private placement, we also sold to the investors unregistered warrants to purchase up to an aggregate of 568,000 shares of common stock (the “June 26 Common Warrants”). The combined purchase price of one share of common stock and accompanying June 26 Common Warrant was $2.45. The gross proceeds from the offering were approximately $1.39 million resulting in net proceeds, after payment of commissions and expenses, received by the Company of $1,221,146.</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26, 2024, the Company entered into a Sales Agreement (the “AGP ATM Sales Agreement”) with A.G.P./Alliance Global Partners (“AGP”). Pursuant to the terms of the AGP ATM Sales Agreement, the Company originally was permitted to sell from time to time through AGP, as sales agent or principal, shares of the Company’s common stock, par value $0.001 per share with initial aggregate sales price of up to $5.2 million. On July 30, 2024, the Company increased the aggregate sales price of common shares that may be sold under the AGP ATM Sales Agreement to $25.0 million (not including the original $5.2 million). As of August 14, 2024, the Company has sold 28,704,761 Shares pursuant to the Agreement for net proceeds of approximately $10.5 million.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plan of operations is primarily focused on completing a clinical trial for Berubicin. Our current expectation is that our cash on hand as of the date of this filing is sufficient to fund our operations through the first quarter of 2025. We currently expect to release final top-line data for our potentially pivotal trial of Berubicin in the first half of 2025. If capital is available to fund TPI 287 clinical preparations and drug manufacturing for a potentially pivotal Phase 2 trial of TPI 287, we would need to raise an additional $4.0 million to support near-term development of that program. The timing and costs of clinical trials are difficult to predict and trial plans may change in response to evolving circumstances and as such the foregoing estimates may prove to be inaccurate.</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will need to raise additional capital in the near term in order to continue to meet the Nasdaq minimum equity requirement. If we are unable to raise sufficient funds, we may be delisted by Nasdaq and we will be required to develop and implement an alternative plan to further extend payables, reduce overhead or scale back our business plan until sufficient additional capital is raised to support further operations. There can be no assurance that such a plan will be successful and if it is not successful we may need to cease operations entirely.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Summary of Cash Flows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Cash used in operating activities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operating activities was approximately $4,842,000 and $8,227,000 for the six months ended June 30, 2024 and 2023, respectively, and mainly included payments made for clinical trial preparation, officer compensation, insurance, marketing and professional fees to our consultants, attorneys and accountants.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Cash provided by financing activities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provided by financing activities was approximately $5,785,000 for the six months ended June 30, 2024, related to the sale of common stock and exercise of warrants, which were offset by the repayment of notes payable and payment of deferred offering costs. Net cash provided by financing activities was approximately $2,451,000 for the six months ended June 30, 2023, related to the sale of common stock and exercise of warrants, which were offset by the repayment of notes payable.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Off-balance Sheet Arrangements</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June 30, 2024, we did not have any relationships with unconsolidated entities or financial partnerships, such as entities often referred to as structured finance or special purpose entities, established for the purpose of facilitating off-balance sheet arrangements or other contractually narrow or limited purposes.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Purchase Commitments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any material commitments for capital expenditures, although we are required to pay certain milestones fees to HPI, Reata and Cortice as described in the section “Overview” above.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JOBS Act Accounting Election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Jumpstart Our Business Startups Act of 2012, or the JOBS Act, exempts an “emerging growth company” such as us from being required to comply with new or revised financial accounting standards until private companies are required to comply with the new or revised financial accounting standards. The JOBS Act provides that a company can elect to opt out of the extended transition period and comply with the requirements that apply to non-emerging growth companies but any such election to opt out is irrevocable. We elected not to opt out of such extended transition period which means that when a standard is issued or revised and it has different application dates for public or private companies, we, as an emerging growth company, can adopt the new or revised standard at the time private companies adopt the new or revised standard. This may make comparison of our financial statements with another public company which is neither an emerging growth company nor an emerging growth company which has opted out of using the extended transition period difficult or impossible because of the potential differences in accounting standards used.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Critical Accounting Policies and Estimates</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preparation of financial statements in conformity with accounting principles generally accepted in the United States of America requires management to make estimates, assumptions and judgments that affect the amounts reported in the financial statements, including the notes thereto. As a result, management is required to routinely make judgments and estimates about the effects of matters that are inherently uncertain. Actual results may differ from these estimates under different conditions or assumptions. Management determined there were no critical accounting estimates.</w:t>
      </w:r>
    </w:p>
    <w:p>
      <w:pPr>
        <w:pStyle w:val="TextBody"/>
        <w:bidi w:val="0"/>
        <w:spacing w:before="0" w:after="0"/>
        <w:ind w:left="0" w:right="0" w:firstLine="720"/>
        <w:jc w:val="left"/>
        <w:rPr>
          <w:caps w:val="false"/>
          <w:smallCaps w:val="false"/>
        </w:rPr>
      </w:pPr>
      <w:r>
        <w:rPr>
          <w:caps w:val="false"/>
          <w:smallCaps w:val="false"/>
        </w:rPr>
        <w:t> </w:t>
      </w:r>
    </w:p>
    <w:tbl>
      <w:tblPr>
        <w:tblW w:w="5740" w:type="dxa"/>
        <w:jc w:val="left"/>
        <w:tblInd w:w="0" w:type="dxa"/>
        <w:tblLayout w:type="fixed"/>
        <w:tblCellMar>
          <w:top w:w="0" w:type="dxa"/>
          <w:left w:w="0" w:type="dxa"/>
          <w:bottom w:w="0" w:type="dxa"/>
          <w:right w:w="0" w:type="dxa"/>
        </w:tblCellMar>
      </w:tblPr>
      <w:tblGrid>
        <w:gridCol w:w="620"/>
        <w:gridCol w:w="5120"/>
      </w:tblGrid>
      <w:tr>
        <w:trPr/>
        <w:tc>
          <w:tcPr>
            <w:tcW w:w="62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3.</w:t>
            </w:r>
          </w:p>
        </w:tc>
        <w:tc>
          <w:tcPr>
            <w:tcW w:w="5120" w:type="dxa"/>
            <w:tcBorders/>
            <w:vAlign w:val="center"/>
          </w:tcPr>
          <w:p>
            <w:pPr>
              <w:pStyle w:val="TableContents"/>
              <w:bidi w:val="0"/>
              <w:spacing w:before="0" w:after="283"/>
              <w:jc w:val="both"/>
              <w:rPr>
                <w:rFonts w:ascii="Times New Roman;Times;Serif" w:hAnsi="Times New Roman;Times;Serif"/>
                <w:b/>
                <w:sz w:val="20"/>
              </w:rPr>
            </w:pPr>
            <w:bookmarkStart w:id="403" w:name="q2_010"/>
            <w:bookmarkEnd w:id="403"/>
            <w:r>
              <w:rPr>
                <w:rFonts w:ascii="Times New Roman;Times;Serif" w:hAnsi="Times New Roman;Times;Serif"/>
                <w:b/>
                <w:sz w:val="20"/>
              </w:rPr>
              <w:t>Quantitative and Qualitative Disclosures About Market Risk</w:t>
            </w:r>
          </w:p>
        </w:tc>
      </w:tr>
    </w:tbl>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 smaller reporting company as defined by Rule 12b-2 of the Exchange Act and are not required to provide the information required under this item. </w:t>
      </w:r>
    </w:p>
    <w:p>
      <w:pPr>
        <w:pStyle w:val="TextBody"/>
        <w:bidi w:val="0"/>
        <w:spacing w:before="0" w:after="0"/>
        <w:ind w:left="0" w:right="0" w:firstLine="720"/>
        <w:jc w:val="both"/>
        <w:rPr>
          <w:caps w:val="false"/>
          <w:smallCaps w:val="false"/>
        </w:rPr>
      </w:pPr>
      <w:r>
        <w:rPr>
          <w:caps w:val="false"/>
          <w:smallCaps w:val="false"/>
        </w:rPr>
        <w:t> </w:t>
      </w:r>
    </w:p>
    <w:tbl>
      <w:tblPr>
        <w:tblW w:w="2755" w:type="dxa"/>
        <w:jc w:val="left"/>
        <w:tblInd w:w="0" w:type="dxa"/>
        <w:tblLayout w:type="fixed"/>
        <w:tblCellMar>
          <w:top w:w="0" w:type="dxa"/>
          <w:left w:w="0" w:type="dxa"/>
          <w:bottom w:w="0" w:type="dxa"/>
          <w:right w:w="0" w:type="dxa"/>
        </w:tblCellMar>
      </w:tblPr>
      <w:tblGrid>
        <w:gridCol w:w="620"/>
        <w:gridCol w:w="2135"/>
      </w:tblGrid>
      <w:tr>
        <w:trPr/>
        <w:tc>
          <w:tcPr>
            <w:tcW w:w="62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4.</w:t>
            </w:r>
          </w:p>
        </w:tc>
        <w:tc>
          <w:tcPr>
            <w:tcW w:w="2135" w:type="dxa"/>
            <w:tcBorders/>
            <w:vAlign w:val="center"/>
          </w:tcPr>
          <w:p>
            <w:pPr>
              <w:pStyle w:val="TableContents"/>
              <w:bidi w:val="0"/>
              <w:spacing w:before="0" w:after="283"/>
              <w:jc w:val="both"/>
              <w:rPr>
                <w:rFonts w:ascii="Times New Roman;Times;Serif" w:hAnsi="Times New Roman;Times;Serif"/>
                <w:b/>
                <w:sz w:val="20"/>
              </w:rPr>
            </w:pPr>
            <w:bookmarkStart w:id="404" w:name="q2_011"/>
            <w:bookmarkEnd w:id="404"/>
            <w:r>
              <w:rPr>
                <w:rFonts w:ascii="Times New Roman;Times;Serif" w:hAnsi="Times New Roman;Times;Serif"/>
                <w:b/>
                <w:sz w:val="20"/>
              </w:rPr>
              <w:t>Controls and Procedures</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Evaluation of Disclosure Controls and Procedures and Changes in Internal Control over Financial Reporting</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maintain a set of disclosure controls and procedures designed to ensure that material information required to be disclosed in our filings under the Exchange Act is recorded, processed, summarized and reported within the time periods specified in the SEC’s rules and forms and that material information is accumulated and communicated to our management, including our chief executive officer, who serves as our principal executive officer, and our chief financial officer, who serves as our principal financial officer, as appropriate, to allow timely decisions regarding required disclosures.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Under the supervision, and with the participation of our management, including our chief executive officer and our chief financial officer, we conducted an evaluation of the effectiveness, as of June 30, 2024, of our disclosure controls and procedures, as defined in Rules 13a-15(e) and 15d-15(e) under the Securities Exchange Act of 1934, as amended, or the Exchange Act. Disclosure controls and procedures include, without limitation, controls and procedures designed to ensure that information required to be disclosed by an issuer in the reports that it files or submits under the Exchange Act is accumulated and communicated to the issuer’s management, including its principal executive officer and principal financial officer, or persons performing similar functions, as appropriate to allow timely decisions regarding required disclosure.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Based upon such evaluation, our chief executive officer and our chief financial officer have concluded that, as of June 30, 2024, our disclosure controls and procedures were, and continue to be, ineffective because of the material weaknesses in our internal control over financial reporting due to lack of segregation of duties (resulting from the limited number of personnel available), limited access to timely and complete information regarding the status of costs incurred in the activation of investigational sites and costs from treating patients in our study which is a result of the use of a third-party Contract Research Organization (“CRO”) to manage the study, and the lack of formal documentation of our control environment. Management is commencing actions to address the lack of formal documentation of our control environment, although this will not address the lack of segregation of duties. Management is also working with the CRO to improve the timeliness and completeness of the data reported to the Company to address this material weakness, as well as conducting increased analytical analysis of such data to be performed by the Company.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light of the material weakness described above, we continue to perform additional analysis and other post-closing procedures to ensure our financial statements are prepared in accordance with GAAP. Accordingly, we believe that the financial statements included in this report fairly present, in all material respects, our financial condition, results of operations and cash flows for the periods presented. Additional experienced personnel will be hired in the accounting and finance department, appropriate consultants will be retained, and our accounting system will be upgraded as soon as it becomes economically feasible and sustainable.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 than as described above, there has been no change in our internal control over financial reporting during our most recent calendar quarter that has materially affected, or is reasonably likely to materially affect, our internal control over financial reporting.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405" w:name="q2_012"/>
      <w:bookmarkEnd w:id="405"/>
      <w:r>
        <w:rPr>
          <w:rFonts w:ascii="Times New Roman;Times;Serif" w:hAnsi="Times New Roman;Times;Serif"/>
          <w:b/>
          <w:i w:val="false"/>
          <w:caps w:val="false"/>
          <w:smallCaps w:val="false"/>
          <w:sz w:val="20"/>
        </w:rPr>
        <w:t>PART II - OTHER INFORMATION</w:t>
      </w:r>
    </w:p>
    <w:p>
      <w:pPr>
        <w:pStyle w:val="TextBody"/>
        <w:bidi w:val="0"/>
        <w:spacing w:before="0" w:after="0"/>
        <w:ind w:left="0" w:right="0" w:hanging="0"/>
        <w:jc w:val="left"/>
        <w:rPr>
          <w:caps w:val="false"/>
          <w:smallCaps w:val="false"/>
        </w:rPr>
      </w:pPr>
      <w:r>
        <w:rPr>
          <w:caps w:val="false"/>
          <w:smallCaps w:val="false"/>
        </w:rPr>
        <w:t> </w:t>
      </w:r>
    </w:p>
    <w:tbl>
      <w:tblPr>
        <w:tblW w:w="2230" w:type="dxa"/>
        <w:jc w:val="left"/>
        <w:tblInd w:w="0" w:type="dxa"/>
        <w:tblLayout w:type="fixed"/>
        <w:tblCellMar>
          <w:top w:w="0" w:type="dxa"/>
          <w:left w:w="0" w:type="dxa"/>
          <w:bottom w:w="0" w:type="dxa"/>
          <w:right w:w="0" w:type="dxa"/>
        </w:tblCellMar>
      </w:tblPr>
      <w:tblGrid>
        <w:gridCol w:w="620"/>
        <w:gridCol w:w="161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1.</w:t>
            </w:r>
          </w:p>
        </w:tc>
        <w:tc>
          <w:tcPr>
            <w:tcW w:w="1610" w:type="dxa"/>
            <w:tcBorders/>
            <w:vAlign w:val="center"/>
          </w:tcPr>
          <w:p>
            <w:pPr>
              <w:pStyle w:val="TableContents"/>
              <w:bidi w:val="0"/>
              <w:spacing w:before="0" w:after="283"/>
              <w:jc w:val="left"/>
              <w:rPr>
                <w:rFonts w:ascii="Times New Roman;Times;Serif" w:hAnsi="Times New Roman;Times;Serif"/>
                <w:b/>
                <w:sz w:val="20"/>
              </w:rPr>
            </w:pPr>
            <w:bookmarkStart w:id="406" w:name="q2_013"/>
            <w:bookmarkEnd w:id="406"/>
            <w:r>
              <w:rPr>
                <w:rFonts w:ascii="Times New Roman;Times;Serif" w:hAnsi="Times New Roman;Times;Serif"/>
                <w:b/>
                <w:sz w:val="20"/>
              </w:rPr>
              <w:t>Legal Proceedings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From time to time in the ordinary course of our business, we may be involved in legal proceedings, the outcomes of which may not be determinable. The results of litigation are inherently unpredictable. Any claims against us, whether meritorious or not, could be time consuming, result in costly litigation, require significant amounts of management time and result in diversion of significant resources. We are not able to estimate an aggregate amount or range of reasonably possible losses for those legal matters for which losses are not probable and estimable. We have insurance policies covering potential losses where such coverage is cost effective.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not at this time involved in any legal proceedings.</w:t>
      </w:r>
    </w:p>
    <w:p>
      <w:pPr>
        <w:pStyle w:val="TextBody"/>
        <w:bidi w:val="0"/>
        <w:spacing w:before="0" w:after="0"/>
        <w:ind w:left="0" w:right="0" w:hanging="0"/>
        <w:jc w:val="left"/>
        <w:rPr>
          <w:caps w:val="false"/>
          <w:smallCaps w:val="false"/>
        </w:rPr>
      </w:pPr>
      <w:r>
        <w:rPr>
          <w:caps w:val="false"/>
          <w:smallCaps w:val="false"/>
        </w:rPr>
        <w:t> </w:t>
      </w:r>
    </w:p>
    <w:tbl>
      <w:tblPr>
        <w:tblW w:w="1855" w:type="dxa"/>
        <w:jc w:val="left"/>
        <w:tblInd w:w="0" w:type="dxa"/>
        <w:tblLayout w:type="fixed"/>
        <w:tblCellMar>
          <w:top w:w="0" w:type="dxa"/>
          <w:left w:w="0" w:type="dxa"/>
          <w:bottom w:w="0" w:type="dxa"/>
          <w:right w:w="0" w:type="dxa"/>
        </w:tblCellMar>
      </w:tblPr>
      <w:tblGrid>
        <w:gridCol w:w="755"/>
        <w:gridCol w:w="1100"/>
      </w:tblGrid>
      <w:tr>
        <w:trPr/>
        <w:tc>
          <w:tcPr>
            <w:tcW w:w="75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1A.</w:t>
            </w:r>
          </w:p>
        </w:tc>
        <w:tc>
          <w:tcPr>
            <w:tcW w:w="1100" w:type="dxa"/>
            <w:tcBorders/>
            <w:vAlign w:val="center"/>
          </w:tcPr>
          <w:p>
            <w:pPr>
              <w:pStyle w:val="TableContents"/>
              <w:bidi w:val="0"/>
              <w:spacing w:before="0" w:after="283"/>
              <w:jc w:val="left"/>
              <w:rPr>
                <w:rFonts w:ascii="Times New Roman;Times;Serif" w:hAnsi="Times New Roman;Times;Serif"/>
                <w:b/>
                <w:sz w:val="20"/>
              </w:rPr>
            </w:pPr>
            <w:bookmarkStart w:id="407" w:name="q2_014"/>
            <w:bookmarkEnd w:id="407"/>
            <w:r>
              <w:rPr>
                <w:rFonts w:ascii="Times New Roman;Times;Serif" w:hAnsi="Times New Roman;Times;Serif"/>
                <w:b/>
                <w:sz w:val="20"/>
              </w:rPr>
              <w:t>Risk Factors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to the other information set forth in this report, you should carefully consider the factors set forth below and discussed in the section entitled “Risk Factors” in our 2023 Annual Report on Form 10-K, filed with the SEC, which are incorporated herein by reference. The risks described in such reports are not the only risks facing our Company. Additional risks and uncertainties not currently known to us or that we currently deem to be immaterial also may materially adversely affect our business, financial condition and/or operating results.</w:t>
      </w:r>
    </w:p>
    <w:p>
      <w:pPr>
        <w:pStyle w:val="TextBody"/>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If we are unable to maintain compliance with the listing requirements of The Nasdaq Capital Market, our common stock may be delisted from The Nasdaq Capital Market which could have a material adverse effect on our financial condition and could make it more difficult for shareholders to sell their shares.</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common stock is listed on The Nasdaq Capital Market, and we are therefore subject to its continued listing requirements, including requirements with respect to the market value of publicly-held shares, market value of listed shares, minimum bid price per share, and minimum stockholder's equity, among others, and requirements relating to board and committee independence. If we fail to satisfy one or more of the requirements, we may be delisted from The Nasdaq Capital Market.</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17, 2023, </w:t>
      </w:r>
      <w:r>
        <w:rPr>
          <w:rFonts w:ascii="Times New Roman;Times;Serif" w:hAnsi="Times New Roman;Times;Serif"/>
          <w:b w:val="false"/>
          <w:i w:val="false"/>
          <w:caps w:val="false"/>
          <w:smallCaps w:val="false"/>
          <w:sz w:val="20"/>
          <w:shd w:fill="FFFFFF" w:val="clear"/>
        </w:rPr>
        <w:t xml:space="preserve">we were </w:t>
      </w:r>
      <w:r>
        <w:rPr>
          <w:rFonts w:ascii="Times New Roman;Times;Serif" w:hAnsi="Times New Roman;Times;Serif"/>
          <w:b w:val="false"/>
          <w:i w:val="false"/>
          <w:caps w:val="false"/>
          <w:smallCaps w:val="false"/>
          <w:sz w:val="20"/>
        </w:rPr>
        <w:t>notified by the Listing Qualifications Department (the “Staff”) of the Nasdaq Stock Market (“Nasdaq”) that we were not in compliance with the minimum $2,500,000 stockholders’ equity requirement for continued listing set forth in Listing Rule 5550(b). On February 27, 2024, the Staff notified us that we did not comply with the $1.00 minimum bid price requirement set forth under Listing Rule 5550(a)(2). On February 14, 2024, we were notified that because we had not regained compliance with the Nasdaq equity requirement, our securities would be delisted unless it requested a hearing. On February 21, 2024, we requested a hearing, which was held on April 18, 2024.</w:t>
      </w:r>
    </w:p>
    <w:p>
      <w:pPr>
        <w:pStyle w:val="TextBody"/>
        <w:shd w:fill="FFFFFF" w:val="clear"/>
        <w:bidi w:val="0"/>
        <w:spacing w:before="0" w:after="0"/>
        <w:ind w:left="0" w:right="0" w:firstLine="800"/>
        <w:jc w:val="both"/>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May 6, 2024, we received notification from the Nasdaq Hearings Panel (“Panel”) that it has granted an extension until July 15, 2024, to demonstrate compliance with Listing Rules 5550(a)(2) and 5550(b). On July 12, 2024, we requested an extension of this time period until August 12, 2024. On July 19, 2024, the Panel granted the requested extension until August 12, 2024, which date represented the full extent of the Panel’s discretion to grant continued listing while we are non-compliant with Listing Rule 5550(b).</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5, 2024, we received a letter from the Nasdaq Staff notifying we had regained compliance with Bid Price Rule as a result of the closing bid price of our common stock being at $1.00 per share or greater for the 20 consecutive business days from June 5, 2024, through July 3, 2024.</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7, 2024, we filed a Form 8-K with the SEC indicating that as of that date, our shareholders’ equity was above the $2.5 million continued listing equity requirement as set forth in Listing Rule 5550(b)(1). As of the date hereof, we have not received any notice from Nasdaq on our compliance status.</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Delisting from The Nasdaq Capital Market would adversely affect our ability to raise additional financing through the public or private sale of equity securities, may significantly affect the ability of investors to trade our securities and may negatively affect the value and liquidity of our common stock. Delisting also could have other negative results, including the potential loss of employee confidence, the loss of institutional investors or interest in business development opportunities. </w:t>
      </w:r>
    </w:p>
    <w:p>
      <w:pPr>
        <w:pStyle w:val="TextBody"/>
        <w:bidi w:val="0"/>
        <w:spacing w:before="0" w:after="0"/>
        <w:ind w:left="0" w:right="0" w:hanging="0"/>
        <w:jc w:val="left"/>
        <w:rPr>
          <w:caps w:val="false"/>
          <w:smallCaps w:val="false"/>
        </w:rPr>
      </w:pPr>
      <w:r>
        <w:rPr>
          <w:caps w:val="false"/>
          <w:smallCaps w:val="false"/>
        </w:rPr>
        <w:t> </w:t>
      </w:r>
    </w:p>
    <w:tbl>
      <w:tblPr>
        <w:tblW w:w="5650" w:type="dxa"/>
        <w:jc w:val="left"/>
        <w:tblInd w:w="0" w:type="dxa"/>
        <w:tblLayout w:type="fixed"/>
        <w:tblCellMar>
          <w:top w:w="0" w:type="dxa"/>
          <w:left w:w="0" w:type="dxa"/>
          <w:bottom w:w="0" w:type="dxa"/>
          <w:right w:w="0" w:type="dxa"/>
        </w:tblCellMar>
      </w:tblPr>
      <w:tblGrid>
        <w:gridCol w:w="620"/>
        <w:gridCol w:w="503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2.</w:t>
            </w:r>
          </w:p>
        </w:tc>
        <w:tc>
          <w:tcPr>
            <w:tcW w:w="5030" w:type="dxa"/>
            <w:tcBorders/>
            <w:vAlign w:val="center"/>
          </w:tcPr>
          <w:p>
            <w:pPr>
              <w:pStyle w:val="TableContents"/>
              <w:bidi w:val="0"/>
              <w:spacing w:before="0" w:after="283"/>
              <w:jc w:val="left"/>
              <w:rPr>
                <w:rFonts w:ascii="Times New Roman;Times;Serif" w:hAnsi="Times New Roman;Times;Serif"/>
                <w:b/>
                <w:sz w:val="20"/>
              </w:rPr>
            </w:pPr>
            <w:bookmarkStart w:id="408" w:name="q2_015"/>
            <w:bookmarkEnd w:id="408"/>
            <w:r>
              <w:rPr>
                <w:rFonts w:ascii="Times New Roman;Times;Serif" w:hAnsi="Times New Roman;Times;Serif"/>
                <w:b/>
                <w:sz w:val="20"/>
              </w:rPr>
              <w:t>Unregistered Sales of Equity Securities and Use of Proceeds</w:t>
            </w:r>
          </w:p>
        </w:tc>
      </w:tr>
    </w:tbl>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Except as previously disclosed on Form 8-K, we have not issued any unregistered securities during the quarter ended June 30, 2024.</w:t>
      </w:r>
    </w:p>
    <w:p>
      <w:pPr>
        <w:pStyle w:val="TextBody"/>
        <w:bidi w:val="0"/>
        <w:spacing w:before="0" w:after="0"/>
        <w:ind w:left="0" w:right="0" w:hanging="0"/>
        <w:jc w:val="left"/>
        <w:rPr>
          <w:caps w:val="false"/>
          <w:smallCaps w:val="false"/>
        </w:rPr>
      </w:pPr>
      <w:r>
        <w:rPr>
          <w:caps w:val="false"/>
          <w:smallCaps w:val="false"/>
        </w:rPr>
        <w:t> </w:t>
      </w:r>
    </w:p>
    <w:tbl>
      <w:tblPr>
        <w:tblW w:w="3310" w:type="dxa"/>
        <w:jc w:val="left"/>
        <w:tblInd w:w="0" w:type="dxa"/>
        <w:tblLayout w:type="fixed"/>
        <w:tblCellMar>
          <w:top w:w="0" w:type="dxa"/>
          <w:left w:w="0" w:type="dxa"/>
          <w:bottom w:w="0" w:type="dxa"/>
          <w:right w:w="0" w:type="dxa"/>
        </w:tblCellMar>
      </w:tblPr>
      <w:tblGrid>
        <w:gridCol w:w="620"/>
        <w:gridCol w:w="269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3.</w:t>
            </w:r>
          </w:p>
        </w:tc>
        <w:tc>
          <w:tcPr>
            <w:tcW w:w="2690" w:type="dxa"/>
            <w:tcBorders/>
            <w:vAlign w:val="center"/>
          </w:tcPr>
          <w:p>
            <w:pPr>
              <w:pStyle w:val="TableContents"/>
              <w:bidi w:val="0"/>
              <w:spacing w:before="0" w:after="283"/>
              <w:jc w:val="left"/>
              <w:rPr>
                <w:rFonts w:ascii="Times New Roman;Times;Serif" w:hAnsi="Times New Roman;Times;Serif"/>
                <w:b/>
                <w:sz w:val="20"/>
              </w:rPr>
            </w:pPr>
            <w:bookmarkStart w:id="409" w:name="q2_016"/>
            <w:bookmarkEnd w:id="409"/>
            <w:r>
              <w:rPr>
                <w:rFonts w:ascii="Times New Roman;Times;Serif" w:hAnsi="Times New Roman;Times;Serif"/>
                <w:b/>
                <w:sz w:val="20"/>
              </w:rPr>
              <w:t>Defaults Upon Senior Securities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spacing w:before="0" w:after="0"/>
        <w:ind w:left="0" w:right="0" w:hanging="0"/>
        <w:jc w:val="left"/>
        <w:rPr>
          <w:caps w:val="false"/>
          <w:smallCaps w:val="false"/>
        </w:rPr>
      </w:pPr>
      <w:r>
        <w:rPr>
          <w:caps w:val="false"/>
          <w:smallCaps w:val="false"/>
        </w:rPr>
        <w:t> </w:t>
      </w:r>
    </w:p>
    <w:tbl>
      <w:tblPr>
        <w:tblW w:w="2665" w:type="dxa"/>
        <w:jc w:val="left"/>
        <w:tblInd w:w="0" w:type="dxa"/>
        <w:tblLayout w:type="fixed"/>
        <w:tblCellMar>
          <w:top w:w="0" w:type="dxa"/>
          <w:left w:w="0" w:type="dxa"/>
          <w:bottom w:w="0" w:type="dxa"/>
          <w:right w:w="0" w:type="dxa"/>
        </w:tblCellMar>
      </w:tblPr>
      <w:tblGrid>
        <w:gridCol w:w="620"/>
        <w:gridCol w:w="2045"/>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4.</w:t>
            </w:r>
          </w:p>
        </w:tc>
        <w:tc>
          <w:tcPr>
            <w:tcW w:w="2045" w:type="dxa"/>
            <w:tcBorders/>
            <w:vAlign w:val="center"/>
          </w:tcPr>
          <w:p>
            <w:pPr>
              <w:pStyle w:val="TableContents"/>
              <w:bidi w:val="0"/>
              <w:spacing w:before="0" w:after="283"/>
              <w:jc w:val="left"/>
              <w:rPr>
                <w:rFonts w:ascii="Times New Roman;Times;Serif" w:hAnsi="Times New Roman;Times;Serif"/>
                <w:b/>
                <w:sz w:val="20"/>
              </w:rPr>
            </w:pPr>
            <w:bookmarkStart w:id="410" w:name="q2_017"/>
            <w:bookmarkEnd w:id="410"/>
            <w:r>
              <w:rPr>
                <w:rFonts w:ascii="Times New Roman;Times;Serif" w:hAnsi="Times New Roman;Times;Serif"/>
                <w:b/>
                <w:sz w:val="20"/>
              </w:rPr>
              <w:t>Mine Safety Disclosures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 applicable.</w:t>
      </w:r>
    </w:p>
    <w:p>
      <w:pPr>
        <w:pStyle w:val="TextBody"/>
        <w:bidi w:val="0"/>
        <w:spacing w:before="0" w:after="0"/>
        <w:ind w:left="0" w:right="0" w:hanging="0"/>
        <w:jc w:val="left"/>
        <w:rPr>
          <w:caps w:val="false"/>
          <w:smallCaps w:val="false"/>
        </w:rPr>
      </w:pPr>
      <w:r>
        <w:rPr>
          <w:caps w:val="false"/>
          <w:smallCaps w:val="false"/>
        </w:rPr>
        <w:t> </w:t>
      </w:r>
    </w:p>
    <w:tbl>
      <w:tblPr>
        <w:tblW w:w="2230" w:type="dxa"/>
        <w:jc w:val="left"/>
        <w:tblInd w:w="0" w:type="dxa"/>
        <w:tblLayout w:type="fixed"/>
        <w:tblCellMar>
          <w:top w:w="0" w:type="dxa"/>
          <w:left w:w="0" w:type="dxa"/>
          <w:bottom w:w="0" w:type="dxa"/>
          <w:right w:w="0" w:type="dxa"/>
        </w:tblCellMar>
      </w:tblPr>
      <w:tblGrid>
        <w:gridCol w:w="620"/>
        <w:gridCol w:w="161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5.</w:t>
            </w:r>
          </w:p>
        </w:tc>
        <w:tc>
          <w:tcPr>
            <w:tcW w:w="1610" w:type="dxa"/>
            <w:tcBorders/>
            <w:vAlign w:val="center"/>
          </w:tcPr>
          <w:p>
            <w:pPr>
              <w:pStyle w:val="TableContents"/>
              <w:bidi w:val="0"/>
              <w:spacing w:before="0" w:after="283"/>
              <w:jc w:val="left"/>
              <w:rPr>
                <w:rFonts w:ascii="Times New Roman;Times;Serif" w:hAnsi="Times New Roman;Times;Serif"/>
                <w:b/>
                <w:sz w:val="20"/>
              </w:rPr>
            </w:pPr>
            <w:bookmarkStart w:id="411" w:name="q2_018"/>
            <w:bookmarkEnd w:id="411"/>
            <w:r>
              <w:rPr>
                <w:rFonts w:ascii="Times New Roman;Times;Serif" w:hAnsi="Times New Roman;Times;Serif"/>
                <w:b/>
                <w:sz w:val="20"/>
              </w:rPr>
              <w:t>Other Information</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During the period covered by this Quarterly Report, none of the Company’s directors or executive officers has </w:t>
      </w:r>
      <w:bookmarkStart w:id="412" w:name="xdx_903_eecd--NonRule10b51ArrAdoptedFlag"/>
      <w:bookmarkStart w:id="413" w:name="xdx_904_eecd--Rule10b51ArrAdoptedFlag_db"/>
      <w:bookmarkEnd w:id="412"/>
      <w:bookmarkEnd w:id="413"/>
      <w:r>
        <w:rPr>
          <w:rFonts w:ascii="Times New Roman;Times;Serif" w:hAnsi="Times New Roman;Times;Serif"/>
          <w:b w:val="false"/>
          <w:i w:val="false"/>
          <w:caps w:val="false"/>
          <w:smallCaps w:val="false"/>
          <w:sz w:val="20"/>
        </w:rPr>
        <w:t xml:space="preserve">adopted or </w:t>
      </w:r>
      <w:bookmarkStart w:id="414" w:name="xdx_902_eecd--NonRule10b51ArrTrmntdFlag_"/>
      <w:bookmarkStart w:id="415" w:name="xdx_903_eecd--Rule10b51ArrTrmntdFlag_dbF"/>
      <w:bookmarkEnd w:id="414"/>
      <w:bookmarkEnd w:id="415"/>
      <w:r>
        <w:rPr>
          <w:rFonts w:ascii="Times New Roman;Times;Serif" w:hAnsi="Times New Roman;Times;Serif"/>
          <w:b w:val="false"/>
          <w:i w:val="false"/>
          <w:caps w:val="false"/>
          <w:smallCaps w:val="false"/>
          <w:sz w:val="20"/>
        </w:rPr>
        <w:t>terminated a Rule 10b5-1 trading arrangement or a non-Rule 10b5-1 trading arrangement (each as defined in Item 408 of Regulation S-K under the Securities Exchange Act of 1934, as amended).</w:t>
      </w:r>
    </w:p>
    <w:p>
      <w:pPr>
        <w:pStyle w:val="TextBody"/>
        <w:bidi w:val="0"/>
        <w:spacing w:before="0" w:after="0"/>
        <w:ind w:left="0" w:right="0" w:firstLine="720"/>
        <w:jc w:val="left"/>
        <w:rPr>
          <w:caps w:val="false"/>
          <w:smallCaps w:val="false"/>
        </w:rPr>
      </w:pPr>
      <w:r>
        <w:rPr>
          <w:caps w:val="false"/>
          <w:smallCaps w:val="false"/>
        </w:rPr>
        <w:t> </w:t>
      </w:r>
    </w:p>
    <w:tbl>
      <w:tblPr>
        <w:tblW w:w="1360" w:type="dxa"/>
        <w:jc w:val="left"/>
        <w:tblInd w:w="0" w:type="dxa"/>
        <w:tblLayout w:type="fixed"/>
        <w:tblCellMar>
          <w:top w:w="0" w:type="dxa"/>
          <w:left w:w="0" w:type="dxa"/>
          <w:bottom w:w="0" w:type="dxa"/>
          <w:right w:w="0" w:type="dxa"/>
        </w:tblCellMar>
      </w:tblPr>
      <w:tblGrid>
        <w:gridCol w:w="620"/>
        <w:gridCol w:w="74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6.</w:t>
            </w:r>
          </w:p>
        </w:tc>
        <w:tc>
          <w:tcPr>
            <w:tcW w:w="740" w:type="dxa"/>
            <w:tcBorders/>
            <w:vAlign w:val="center"/>
          </w:tcPr>
          <w:p>
            <w:pPr>
              <w:pStyle w:val="TableContents"/>
              <w:bidi w:val="0"/>
              <w:spacing w:before="0" w:after="283"/>
              <w:jc w:val="left"/>
              <w:rPr>
                <w:rFonts w:ascii="Times New Roman;Times;Serif" w:hAnsi="Times New Roman;Times;Serif"/>
                <w:b/>
                <w:sz w:val="20"/>
              </w:rPr>
            </w:pPr>
            <w:bookmarkStart w:id="416" w:name="q2_019"/>
            <w:bookmarkEnd w:id="416"/>
            <w:r>
              <w:rPr>
                <w:rFonts w:ascii="Times New Roman;Times;Serif" w:hAnsi="Times New Roman;Times;Serif"/>
                <w:b/>
                <w:sz w:val="20"/>
              </w:rPr>
              <w:t>Exhibits</w:t>
            </w:r>
          </w:p>
        </w:tc>
      </w:tr>
    </w:tbl>
    <w:p>
      <w:pPr>
        <w:pStyle w:val="TextBody"/>
        <w:bidi w:val="0"/>
        <w:spacing w:before="0" w:after="0"/>
        <w:ind w:left="294" w:right="294"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INDEX TO EXHIBITS</w:t>
      </w:r>
    </w:p>
    <w:p>
      <w:pPr>
        <w:pStyle w:val="TextBody"/>
        <w:bidi w:val="0"/>
        <w:spacing w:before="0" w:after="0"/>
        <w:ind w:left="294" w:right="294"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28" w:type="dxa"/>
          <w:right w:w="0" w:type="dxa"/>
        </w:tblCellMar>
      </w:tblPr>
      <w:tblGrid>
        <w:gridCol w:w="725"/>
        <w:gridCol w:w="60"/>
        <w:gridCol w:w="9420"/>
      </w:tblGrid>
      <w:tr>
        <w:trPr/>
        <w:tc>
          <w:tcPr>
            <w:tcW w:w="725" w:type="dxa"/>
            <w:tcBorders>
              <w:bottom w:val="single" w:sz="8" w:space="0" w:color="000000"/>
            </w:tcBorders>
            <w:vAlign w:val="center"/>
          </w:tcPr>
          <w:p>
            <w:pPr>
              <w:pStyle w:val="TableContents"/>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Exhibit</w:t>
            </w:r>
          </w:p>
          <w:p>
            <w:pPr>
              <w:pStyle w:val="TableContents"/>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Number</w:t>
            </w:r>
          </w:p>
        </w:tc>
        <w:tc>
          <w:tcPr>
            <w:tcW w:w="60" w:type="dxa"/>
            <w:tcBorders/>
            <w:tcMar>
              <w:bottom w:w="0" w:type="dxa"/>
            </w:tcMar>
            <w:vAlign w:val="center"/>
          </w:tcPr>
          <w:p>
            <w:pPr>
              <w:pStyle w:val="TableContents"/>
              <w:bidi w:val="0"/>
              <w:spacing w:before="0" w:after="283"/>
              <w:jc w:val="left"/>
              <w:rPr/>
            </w:pPr>
            <w:r>
              <w:rPr/>
              <w:t> </w:t>
            </w:r>
          </w:p>
        </w:tc>
        <w:tc>
          <w:tcPr>
            <w:tcW w:w="9420"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Description</w:t>
            </w:r>
          </w:p>
        </w:tc>
      </w:tr>
      <w:tr>
        <w:trPr/>
        <w:tc>
          <w:tcPr>
            <w:tcW w:w="72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r>
              <w:rPr/>
              <w:t> </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2">
              <w:r>
                <w:rPr>
                  <w:rStyle w:val="InternetLink"/>
                  <w:rFonts w:ascii="Times New Roman;Times;Serif" w:hAnsi="Times New Roman;Times;Serif"/>
                  <w:sz w:val="20"/>
                </w:rPr>
                <w:t>Certificate of Amendment to the Amended and Restated Articles of Incorporation of CNS Pharmaceuticals, Inc., filed with the Secretary of State of the State of Nevada</w:t>
              </w:r>
            </w:hyperlink>
            <w:r>
              <w:rPr/>
              <w:t xml:space="preserve"> </w:t>
            </w:r>
            <w:r>
              <w:rPr>
                <w:rFonts w:ascii="Times New Roman;Times;Serif" w:hAnsi="Times New Roman;Times;Serif"/>
                <w:sz w:val="20"/>
              </w:rPr>
              <w:t>(incorporated by reference to exhibit 3.1 of the Form 8-K filed May 3, 2024)</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3">
              <w:r>
                <w:rPr>
                  <w:rStyle w:val="InternetLink"/>
                  <w:rFonts w:ascii="Times New Roman;Times;Serif" w:hAnsi="Times New Roman;Times;Serif"/>
                  <w:sz w:val="20"/>
                </w:rPr>
                <w:t>Certificate of Amendment to the Amended and Restated Articles of Incorporation of CNS Pharmaceuticals, Inc., filed with the Secretary of State of the State of Nevada related to reverse split</w:t>
              </w:r>
            </w:hyperlink>
            <w:r>
              <w:rPr>
                <w:rFonts w:ascii="Times New Roman;Times;Serif" w:hAnsi="Times New Roman;Times;Serif"/>
                <w:sz w:val="20"/>
              </w:rPr>
              <w:t xml:space="preserve"> (incorporated by reference to exhibit 3.1 of the Form 8-K filed June 5, 2024)</w:t>
            </w:r>
          </w:p>
        </w:tc>
      </w:tr>
      <w:tr>
        <w:trPr/>
        <w:tc>
          <w:tcPr>
            <w:tcW w:w="72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4.1</w:t>
            </w:r>
          </w:p>
        </w:tc>
        <w:tc>
          <w:tcPr>
            <w:tcW w:w="60" w:type="dxa"/>
            <w:tcBorders/>
            <w:tcMar>
              <w:bottom w:w="0" w:type="dxa"/>
            </w:tcMar>
            <w:vAlign w:val="center"/>
          </w:tcPr>
          <w:p>
            <w:pPr>
              <w:pStyle w:val="TableContents"/>
              <w:bidi w:val="0"/>
              <w:spacing w:before="0" w:after="283"/>
              <w:jc w:val="left"/>
              <w:rPr/>
            </w:pPr>
            <w:r>
              <w:rPr/>
              <w:t> </w:t>
            </w:r>
          </w:p>
        </w:tc>
        <w:tc>
          <w:tcPr>
            <w:tcW w:w="9420" w:type="dxa"/>
            <w:tcBorders/>
            <w:tcMar>
              <w:bottom w:w="0" w:type="dxa"/>
            </w:tcMar>
            <w:vAlign w:val="center"/>
          </w:tcPr>
          <w:p>
            <w:pPr>
              <w:pStyle w:val="TableContents"/>
              <w:bidi w:val="0"/>
              <w:spacing w:before="0" w:after="283"/>
              <w:jc w:val="left"/>
              <w:rPr/>
            </w:pPr>
            <w:hyperlink r:id="rId4">
              <w:r>
                <w:rPr>
                  <w:rStyle w:val="InternetLink"/>
                  <w:rFonts w:ascii="Times New Roman;Times;Serif" w:hAnsi="Times New Roman;Times;Serif"/>
                  <w:sz w:val="20"/>
                </w:rPr>
                <w:t>Form of Common Warrant issued in June 14, 2024 offering</w:t>
              </w:r>
            </w:hyperlink>
            <w:r>
              <w:rPr/>
              <w:t xml:space="preserve"> </w:t>
            </w:r>
            <w:r>
              <w:rPr>
                <w:rFonts w:ascii="Times New Roman;Times;Serif" w:hAnsi="Times New Roman;Times;Serif"/>
                <w:sz w:val="20"/>
              </w:rPr>
              <w:t>(incorporated by reference to exhibit 4.2 of the Form 8-K filed June 14, 2024)</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10205" w:type="dxa"/>
        <w:jc w:val="left"/>
        <w:tblInd w:w="0" w:type="dxa"/>
        <w:tblLayout w:type="fixed"/>
        <w:tblCellMar>
          <w:top w:w="0" w:type="dxa"/>
          <w:left w:w="0" w:type="dxa"/>
          <w:bottom w:w="0" w:type="dxa"/>
          <w:right w:w="0" w:type="dxa"/>
        </w:tblCellMar>
      </w:tblPr>
      <w:tblGrid>
        <w:gridCol w:w="705"/>
        <w:gridCol w:w="60"/>
        <w:gridCol w:w="9440"/>
      </w:tblGrid>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4.2</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5">
              <w:r>
                <w:rPr>
                  <w:rStyle w:val="InternetLink"/>
                  <w:rFonts w:ascii="Times New Roman;Times;Serif" w:hAnsi="Times New Roman;Times;Serif"/>
                  <w:sz w:val="20"/>
                </w:rPr>
                <w:t>Form of Pre-Funded Warrant issued in June 14, 2024 offering</w:t>
              </w:r>
            </w:hyperlink>
            <w:r>
              <w:rPr/>
              <w:t xml:space="preserve"> </w:t>
            </w:r>
            <w:r>
              <w:rPr>
                <w:rFonts w:ascii="Times New Roman;Times;Serif" w:hAnsi="Times New Roman;Times;Serif"/>
                <w:sz w:val="20"/>
              </w:rPr>
              <w:t>(incorporated by reference to exhibit 4.1 of the Form 8-K filed June 14,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4.3</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6">
              <w:r>
                <w:rPr>
                  <w:rStyle w:val="InternetLink"/>
                  <w:rFonts w:ascii="Times New Roman;Times;Serif" w:hAnsi="Times New Roman;Times;Serif"/>
                  <w:sz w:val="20"/>
                </w:rPr>
                <w:t>Form of Common Warrant issued in June 26, 2024 offering</w:t>
              </w:r>
            </w:hyperlink>
            <w:r>
              <w:rPr/>
              <w:t xml:space="preserve"> </w:t>
            </w:r>
            <w:r>
              <w:rPr>
                <w:rFonts w:ascii="Times New Roman;Times;Serif" w:hAnsi="Times New Roman;Times;Serif"/>
                <w:sz w:val="20"/>
              </w:rPr>
              <w:t>(incorporated by reference to exhibit 4.1 of the Form 8-K filed June 26,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4.4</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7">
              <w:r>
                <w:rPr>
                  <w:rStyle w:val="InternetLink"/>
                  <w:rFonts w:ascii="Times New Roman;Times;Serif" w:hAnsi="Times New Roman;Times;Serif"/>
                  <w:sz w:val="20"/>
                </w:rPr>
                <w:t>Form of Common Warrant issued in July 3, 2024 offering</w:t>
              </w:r>
            </w:hyperlink>
            <w:r>
              <w:rPr/>
              <w:t xml:space="preserve"> </w:t>
            </w:r>
            <w:r>
              <w:rPr>
                <w:rFonts w:ascii="Times New Roman;Times;Serif" w:hAnsi="Times New Roman;Times;Serif"/>
                <w:sz w:val="20"/>
              </w:rPr>
              <w:t>(incorporated by reference to exhibit 4.1 of the Form 8-K filed July 3,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8">
              <w:r>
                <w:rPr>
                  <w:rStyle w:val="InternetLink"/>
                  <w:rFonts w:ascii="Times New Roman;Times;Serif" w:hAnsi="Times New Roman;Times;Serif"/>
                  <w:sz w:val="20"/>
                </w:rPr>
                <w:t>Financial Advisory Agreement dated June 14, 2024 by and among CNS Pharmaceuticals, Inc., A.G.P./Alliance Global Partners</w:t>
              </w:r>
            </w:hyperlink>
            <w:r>
              <w:rPr/>
              <w:t xml:space="preserve"> </w:t>
            </w:r>
            <w:r>
              <w:rPr>
                <w:rFonts w:ascii="Times New Roman;Times;Serif" w:hAnsi="Times New Roman;Times;Serif"/>
                <w:sz w:val="20"/>
              </w:rPr>
              <w:t>(incorporated by reference to exhibit 10.2 of the Form 8-K filed June 14,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9">
              <w:r>
                <w:rPr>
                  <w:rStyle w:val="InternetLink"/>
                  <w:rFonts w:ascii="Times New Roman;Times;Serif" w:hAnsi="Times New Roman;Times;Serif"/>
                  <w:sz w:val="20"/>
                </w:rPr>
                <w:t>Form of Securities Purchase Agreement</w:t>
              </w:r>
            </w:hyperlink>
            <w:r>
              <w:rPr/>
              <w:t xml:space="preserve"> </w:t>
            </w:r>
            <w:r>
              <w:rPr>
                <w:rFonts w:ascii="Times New Roman;Times;Serif" w:hAnsi="Times New Roman;Times;Serif"/>
                <w:sz w:val="20"/>
              </w:rPr>
              <w:t>(incorporated by reference to exhibit 10.1 of the Form 8-K filed June 14,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10.4</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10">
              <w:r>
                <w:rPr>
                  <w:rStyle w:val="InternetLink"/>
                  <w:rFonts w:ascii="Times New Roman;Times;Serif" w:hAnsi="Times New Roman;Times;Serif"/>
                  <w:sz w:val="20"/>
                </w:rPr>
                <w:t>CNS Pharmaceuticals, Inc. 2020 Equity Plan (as amended April 30, 2024)</w:t>
              </w:r>
            </w:hyperlink>
            <w:r>
              <w:rPr/>
              <w:t xml:space="preserve"> </w:t>
            </w:r>
            <w:r>
              <w:rPr>
                <w:rFonts w:ascii="Times New Roman;Times;Serif" w:hAnsi="Times New Roman;Times;Serif"/>
                <w:sz w:val="20"/>
              </w:rPr>
              <w:t>(incorporated by reference to exhibit 10.1 of the Form 8-K filed May 3,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10.5</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11">
              <w:r>
                <w:rPr>
                  <w:rStyle w:val="InternetLink"/>
                  <w:rFonts w:ascii="Times New Roman;Times;Serif" w:hAnsi="Times New Roman;Times;Serif"/>
                  <w:sz w:val="20"/>
                </w:rPr>
                <w:t>Financial Advisory Agreement dated June 26, 2024 by and among CNS Pharmaceuticals, Inc., A.G.P./Alliance Global Partners</w:t>
              </w:r>
            </w:hyperlink>
            <w:r>
              <w:rPr/>
              <w:t xml:space="preserve"> </w:t>
            </w:r>
            <w:r>
              <w:rPr>
                <w:rFonts w:ascii="Times New Roman;Times;Serif" w:hAnsi="Times New Roman;Times;Serif"/>
                <w:sz w:val="20"/>
              </w:rPr>
              <w:t>(incorporated by reference to exhibit 10.2 of the Form 8-K filed June 26,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10.6</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12">
              <w:r>
                <w:rPr>
                  <w:rStyle w:val="InternetLink"/>
                  <w:rFonts w:ascii="Times New Roman;Times;Serif" w:hAnsi="Times New Roman;Times;Serif"/>
                  <w:sz w:val="20"/>
                </w:rPr>
                <w:t>Form of Securities Purchase Agreement</w:t>
              </w:r>
            </w:hyperlink>
            <w:r>
              <w:rPr/>
              <w:t xml:space="preserve"> </w:t>
            </w:r>
            <w:r>
              <w:rPr>
                <w:rFonts w:ascii="Times New Roman;Times;Serif" w:hAnsi="Times New Roman;Times;Serif"/>
                <w:sz w:val="20"/>
              </w:rPr>
              <w:t>(incorporated by reference to exhibit 10.1 of the Form 8-K filed June 26,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10.7</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13">
              <w:r>
                <w:rPr>
                  <w:rStyle w:val="InternetLink"/>
                  <w:rFonts w:ascii="Times New Roman;Times;Serif" w:hAnsi="Times New Roman;Times;Serif"/>
                  <w:sz w:val="20"/>
                </w:rPr>
                <w:t>Financial Advisory Agreement dated July 3, 2024 by and among CNS Pharmaceuticals, Inc., A.G.P./Alliance Global Partners</w:t>
              </w:r>
            </w:hyperlink>
            <w:r>
              <w:rPr/>
              <w:t xml:space="preserve"> </w:t>
            </w:r>
            <w:r>
              <w:rPr>
                <w:rFonts w:ascii="Times New Roman;Times;Serif" w:hAnsi="Times New Roman;Times;Serif"/>
                <w:sz w:val="20"/>
              </w:rPr>
              <w:t>(incorporated by reference to exhibit 10.2 of the Form 8-K filed June 26,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10.8</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14">
              <w:r>
                <w:rPr>
                  <w:rStyle w:val="InternetLink"/>
                  <w:rFonts w:ascii="Times New Roman;Times;Serif" w:hAnsi="Times New Roman;Times;Serif"/>
                  <w:sz w:val="20"/>
                </w:rPr>
                <w:t>Form of Securities Purchase Agreement</w:t>
              </w:r>
            </w:hyperlink>
            <w:r>
              <w:rPr/>
              <w:t xml:space="preserve"> </w:t>
            </w:r>
            <w:r>
              <w:rPr>
                <w:rFonts w:ascii="Times New Roman;Times;Serif" w:hAnsi="Times New Roman;Times;Serif"/>
                <w:sz w:val="20"/>
              </w:rPr>
              <w:t>(incorporated by reference to exhibit 10.1 of the Form 8-K filed July 3,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10.9</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15">
              <w:r>
                <w:rPr>
                  <w:rStyle w:val="InternetLink"/>
                  <w:rFonts w:ascii="Times New Roman;Times;Serif" w:hAnsi="Times New Roman;Times;Serif"/>
                  <w:sz w:val="20"/>
                </w:rPr>
                <w:t>Sales Agreement, dated July 26, 2024, by and between CNS Pharmaceuticals, Inc. and A.G.P./Alliance Global Partners</w:t>
              </w:r>
            </w:hyperlink>
            <w:r>
              <w:rPr>
                <w:rFonts w:ascii="Times New Roman;Times;Serif" w:hAnsi="Times New Roman;Times;Serif"/>
                <w:sz w:val="20"/>
              </w:rPr>
              <w:t xml:space="preserve"> (incorporated by reference to exhibit 1.1 of the Form 8-K filed July 26,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10.10</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16">
              <w:r>
                <w:rPr>
                  <w:rStyle w:val="InternetLink"/>
                  <w:rFonts w:ascii="Times New Roman;Times;Serif" w:hAnsi="Times New Roman;Times;Serif"/>
                  <w:sz w:val="20"/>
                </w:rPr>
                <w:t>Form of Waiver and Consent, dated July 26, 2024</w:t>
              </w:r>
            </w:hyperlink>
            <w:r>
              <w:rPr>
                <w:rFonts w:ascii="Times New Roman;Times;Serif" w:hAnsi="Times New Roman;Times;Serif"/>
                <w:sz w:val="20"/>
              </w:rPr>
              <w:t xml:space="preserve"> (incorporated by reference to exhibit 10.1 of the Form 8-K filed July 26,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10.11+</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17">
              <w:r>
                <w:rPr>
                  <w:rStyle w:val="InternetLink"/>
                  <w:rFonts w:ascii="Times New Roman;Times;Serif" w:hAnsi="Times New Roman;Times;Serif"/>
                  <w:sz w:val="20"/>
                </w:rPr>
                <w:t>Exclusive License Agreement between CNS Pharmaceuticals, Inc. and Cortice Biosciences, Inc.</w:t>
              </w:r>
            </w:hyperlink>
            <w:r>
              <w:rPr>
                <w:rFonts w:ascii="Times New Roman;Times;Serif" w:hAnsi="Times New Roman;Times;Serif"/>
                <w:sz w:val="20"/>
              </w:rPr>
              <w:t xml:space="preserve"> (incorporated by reference to exhibit 10.1 of the Form 8-K filed July 30,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10.12</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r:id="rId18">
              <w:r>
                <w:rPr>
                  <w:rStyle w:val="InternetLink"/>
                  <w:rFonts w:ascii="Times New Roman;Times;Serif" w:hAnsi="Times New Roman;Times;Serif"/>
                  <w:sz w:val="20"/>
                </w:rPr>
                <w:t>Stock Purchase Agreement between CNS Pharmaceuticals, Inc. and Cortice Biosciences, Inc.</w:t>
              </w:r>
            </w:hyperlink>
            <w:r>
              <w:rPr>
                <w:rFonts w:ascii="Times New Roman;Times;Serif" w:hAnsi="Times New Roman;Times;Serif"/>
                <w:sz w:val="20"/>
              </w:rPr>
              <w:t xml:space="preserve"> (incorporated by reference to exhibit 10.2 of the Form 8-K filed July 30, 2024)</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31.1*</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w:anchor="cns_ex3101.htm">
              <w:r>
                <w:rPr>
                  <w:rStyle w:val="InternetLink"/>
                  <w:rFonts w:ascii="Times New Roman;Times;Serif" w:hAnsi="Times New Roman;Times;Serif"/>
                  <w:sz w:val="20"/>
                </w:rPr>
                <w:t>Certification of the Principal Executive Officer pursuant to Rule 13a-14(a) or 15d-14(a) of the Securities Exchange Act of 1934.</w:t>
              </w:r>
            </w:hyperlink>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31.2*</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w:anchor="cns_ex3102.htm">
              <w:r>
                <w:rPr>
                  <w:rStyle w:val="InternetLink"/>
                  <w:rFonts w:ascii="Times New Roman;Times;Serif" w:hAnsi="Times New Roman;Times;Serif"/>
                  <w:sz w:val="20"/>
                </w:rPr>
                <w:t>Certification of the Principal Financial Officer pursuant to Rule 13a-14(a) or 15d-14(a) of the Securities Exchange Act of 1934.</w:t>
              </w:r>
            </w:hyperlink>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32.1*(1)</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w:anchor="cns_ex3201.htm">
              <w:r>
                <w:rPr>
                  <w:rStyle w:val="InternetLink"/>
                  <w:rFonts w:ascii="Times New Roman;Times;Serif" w:hAnsi="Times New Roman;Times;Serif"/>
                  <w:sz w:val="20"/>
                </w:rPr>
                <w:t>Certification of the Principal Executive Officer pursuant to 18 U.S.C. Section 1350, as adopted pursuant to Section 906 of the Sarbanes-Oxley Act of 2002.</w:t>
              </w:r>
            </w:hyperlink>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32.2*(1)</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hyperlink w:anchor="cns_ex3202.htm">
              <w:r>
                <w:rPr>
                  <w:rStyle w:val="InternetLink"/>
                  <w:rFonts w:ascii="Times New Roman;Times;Serif" w:hAnsi="Times New Roman;Times;Serif"/>
                  <w:sz w:val="20"/>
                </w:rPr>
                <w:t>Certification of the Principal Financial Officer pursuant to 18 U.S.C. Section 1350, as adopted pursuant to Section 906 of the Sarbanes-Oxley Act of 2002.</w:t>
              </w:r>
            </w:hyperlink>
          </w:p>
        </w:tc>
      </w:tr>
      <w:tr>
        <w:trPr/>
        <w:tc>
          <w:tcPr>
            <w:tcW w:w="70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pPr>
            <w:r>
              <w:rPr/>
              <w:t> </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101.INS*</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Instance Document (the instance document does not appear in the Interactive Data File because its XBRL tags are embedded within the Inline XBRL document)</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101.SCH*</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Taxonomy Extension Schema Document</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101.CAL*</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Taxonomy Extension Calculation Linkbase Document</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101.DEF*</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Taxonomy Extension Definition Linkbase Document</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101.LAB*</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Taxonomy Extension Label Linkbase Document</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101.PRE*</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Inline XBRL Taxonomy Extension Presentation Linkbase Document </w:t>
            </w:r>
          </w:p>
        </w:tc>
      </w:tr>
      <w:tr>
        <w:trPr/>
        <w:tc>
          <w:tcPr>
            <w:tcW w:w="70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104*</w:t>
            </w:r>
          </w:p>
        </w:tc>
        <w:tc>
          <w:tcPr>
            <w:tcW w:w="60" w:type="dxa"/>
            <w:tcBorders/>
            <w:vAlign w:val="center"/>
          </w:tcPr>
          <w:p>
            <w:pPr>
              <w:pStyle w:val="TableContents"/>
              <w:bidi w:val="0"/>
              <w:spacing w:before="0" w:after="283"/>
              <w:jc w:val="left"/>
              <w:rPr/>
            </w:pPr>
            <w:r>
              <w:rPr/>
              <w:t> </w:t>
            </w:r>
          </w:p>
        </w:tc>
        <w:tc>
          <w:tcPr>
            <w:tcW w:w="94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Cover Page Interactive Data File (formatted in iXBRL, and included in exhibit 101).</w:t>
            </w:r>
          </w:p>
        </w:tc>
      </w:tr>
    </w:tbl>
    <w:p>
      <w:pPr>
        <w:pStyle w:val="TextBody"/>
        <w:bidi w:val="0"/>
        <w:spacing w:before="0" w:after="283"/>
        <w:jc w:val="left"/>
        <w:rPr/>
      </w:pPr>
      <w:r>
        <w:rPr/>
        <w:t> </w:t>
      </w:r>
    </w:p>
    <w:p>
      <w:pPr>
        <w:pStyle w:val="TextBody"/>
        <w:bidi w:val="0"/>
        <w:spacing w:before="0" w:after="283"/>
        <w:jc w:val="left"/>
        <w:rPr/>
      </w:pPr>
      <w:r>
        <w:rPr/>
        <w:t>______________</w:t>
      </w:r>
    </w:p>
    <w:tbl>
      <w:tblPr>
        <w:tblW w:w="10205" w:type="dxa"/>
        <w:jc w:val="left"/>
        <w:tblInd w:w="0" w:type="dxa"/>
        <w:tblLayout w:type="fixed"/>
        <w:tblCellMar>
          <w:top w:w="0" w:type="dxa"/>
          <w:left w:w="0" w:type="dxa"/>
          <w:bottom w:w="0" w:type="dxa"/>
          <w:right w:w="0" w:type="dxa"/>
        </w:tblCellMar>
      </w:tblPr>
      <w:tblGrid>
        <w:gridCol w:w="223"/>
        <w:gridCol w:w="9982"/>
      </w:tblGrid>
      <w:tr>
        <w:trPr/>
        <w:tc>
          <w:tcPr>
            <w:tcW w:w="223"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9982"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herewith.</w:t>
            </w:r>
          </w:p>
        </w:tc>
      </w:tr>
      <w:tr>
        <w:trPr/>
        <w:tc>
          <w:tcPr>
            <w:tcW w:w="223" w:type="dxa"/>
            <w:tcBorders/>
            <w:vAlign w:val="center"/>
          </w:tcPr>
          <w:p>
            <w:pPr>
              <w:pStyle w:val="TableContents"/>
              <w:bidi w:val="0"/>
              <w:spacing w:before="0" w:after="283"/>
              <w:jc w:val="left"/>
              <w:rPr/>
            </w:pPr>
            <w:r>
              <w:rPr/>
              <w:t> </w:t>
            </w:r>
            <w:r>
              <w:rPr>
                <w:rFonts w:ascii="Times New Roman;Times;Serif" w:hAnsi="Times New Roman;Times;Serif"/>
                <w:sz w:val="20"/>
              </w:rPr>
              <w:t>+</w:t>
            </w:r>
          </w:p>
        </w:tc>
        <w:tc>
          <w:tcPr>
            <w:tcW w:w="9982"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Pursuant to Item 601(b)(10)(iv) of Regulation S-K promulgated by the SEC, certain portions of this exhibit have been redacted. The Company hereby agrees to furnish supplementally to the SEC, upon its request, an unredacted copy of this exhibit.</w:t>
            </w:r>
          </w:p>
        </w:tc>
      </w:tr>
      <w:tr>
        <w:trPr/>
        <w:tc>
          <w:tcPr>
            <w:tcW w:w="223"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w:t>
            </w:r>
          </w:p>
        </w:tc>
        <w:tc>
          <w:tcPr>
            <w:tcW w:w="9982"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certifications on Exhibit 32 hereto are deemed not “filed” for purposes of Section 18 of the Exchange Act or otherwise subject to the liability of that Section. Such certifications will not be deemed incorporated by reference into any filing under the Securities Act or the Exchange Act.</w:t>
            </w:r>
          </w:p>
        </w:tc>
      </w:tr>
    </w:tbl>
    <w:p>
      <w:pPr>
        <w:pStyle w:val="TextBody"/>
        <w:bidi w:val="0"/>
        <w:spacing w:before="0" w:after="0"/>
        <w:ind w:left="294" w:right="294"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417" w:name="q2_020"/>
      <w:bookmarkEnd w:id="417"/>
      <w:r>
        <w:rPr>
          <w:rFonts w:ascii="Times New Roman;Times;Serif" w:hAnsi="Times New Roman;Times;Serif"/>
          <w:b/>
          <w:i w:val="false"/>
          <w:caps w:val="false"/>
          <w:smallCaps w:val="false"/>
          <w:sz w:val="20"/>
        </w:rPr>
        <w:t>SIGNATURES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the Securities Exchange Act of 1934, the registrant has duly caused this report to be signed on its behalf by the undersigned thereunto duly authorized.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ind w:left="0" w:right="0" w:hanging="0"/>
        <w:jc w:val="left"/>
        <w:rPr>
          <w:caps w:val="false"/>
          <w:smallCaps w:val="false"/>
        </w:rPr>
      </w:pPr>
      <w:r>
        <w:rPr>
          <w:caps w:val="false"/>
          <w:smallCaps w:val="false"/>
        </w:rPr>
        <w:t> </w:t>
      </w:r>
    </w:p>
    <w:tbl>
      <w:tblPr>
        <w:tblW w:w="6855" w:type="dxa"/>
        <w:jc w:val="left"/>
        <w:tblInd w:w="0" w:type="dxa"/>
        <w:tblLayout w:type="fixed"/>
        <w:tblCellMar>
          <w:top w:w="0" w:type="dxa"/>
          <w:left w:w="0" w:type="dxa"/>
          <w:bottom w:w="28" w:type="dxa"/>
          <w:right w:w="0" w:type="dxa"/>
        </w:tblCellMar>
      </w:tblPr>
      <w:tblGrid>
        <w:gridCol w:w="1835"/>
        <w:gridCol w:w="60"/>
        <w:gridCol w:w="3515"/>
        <w:gridCol w:w="60"/>
        <w:gridCol w:w="1385"/>
      </w:tblGrid>
      <w:tr>
        <w:trPr/>
        <w:tc>
          <w:tcPr>
            <w:tcW w:w="1835"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SIGNATURE</w:t>
            </w:r>
          </w:p>
        </w:tc>
        <w:tc>
          <w:tcPr>
            <w:tcW w:w="60" w:type="dxa"/>
            <w:tcBorders/>
            <w:tcMar>
              <w:bottom w:w="0" w:type="dxa"/>
            </w:tcMar>
            <w:vAlign w:val="center"/>
          </w:tcPr>
          <w:p>
            <w:pPr>
              <w:pStyle w:val="TableContents"/>
              <w:bidi w:val="0"/>
              <w:spacing w:before="0" w:after="283"/>
              <w:jc w:val="left"/>
              <w:rPr/>
            </w:pPr>
            <w:r>
              <w:rPr/>
              <w:t> </w:t>
            </w:r>
          </w:p>
        </w:tc>
        <w:tc>
          <w:tcPr>
            <w:tcW w:w="3515"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TITLE</w:t>
            </w:r>
          </w:p>
        </w:tc>
        <w:tc>
          <w:tcPr>
            <w:tcW w:w="60" w:type="dxa"/>
            <w:tcBorders/>
            <w:tcMar>
              <w:bottom w:w="0" w:type="dxa"/>
            </w:tcMar>
            <w:vAlign w:val="center"/>
          </w:tcPr>
          <w:p>
            <w:pPr>
              <w:pStyle w:val="TableContents"/>
              <w:bidi w:val="0"/>
              <w:spacing w:before="0" w:after="283"/>
              <w:jc w:val="left"/>
              <w:rPr/>
            </w:pPr>
            <w:r>
              <w:rPr/>
              <w:t> </w:t>
            </w:r>
          </w:p>
        </w:tc>
        <w:tc>
          <w:tcPr>
            <w:tcW w:w="1385"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DATE</w:t>
            </w:r>
          </w:p>
        </w:tc>
      </w:tr>
      <w:tr>
        <w:trPr/>
        <w:tc>
          <w:tcPr>
            <w:tcW w:w="1835" w:type="dxa"/>
            <w:tcBorders/>
            <w:tcMar>
              <w:bottom w:w="0" w:type="dxa"/>
            </w:tcMar>
            <w:vAlign w:val="center"/>
          </w:tcPr>
          <w:p>
            <w:pPr>
              <w:pStyle w:val="TableContents"/>
              <w:bidi w:val="0"/>
              <w:spacing w:before="0" w:after="0"/>
              <w:ind w:left="0" w:right="0" w:hanging="0"/>
              <w:jc w:val="left"/>
              <w:rPr>
                <w:caps w:val="false"/>
                <w:smallCaps w:val="false"/>
              </w:rPr>
            </w:pPr>
            <w:r>
              <w:rPr>
                <w:caps w:val="false"/>
                <w:smallCaps w:val="false"/>
              </w:rPr>
              <w:t> </w:t>
            </w:r>
          </w:p>
          <w:p>
            <w:pPr>
              <w:pStyle w:val="TableContents"/>
              <w:bidi w:val="0"/>
              <w:spacing w:before="0" w:after="0"/>
              <w:ind w:left="0" w:right="0" w:hanging="0"/>
              <w:jc w:val="left"/>
              <w:rPr>
                <w:caps w:val="false"/>
                <w:smallCaps w:val="false"/>
              </w:rPr>
            </w:pPr>
            <w:r>
              <w:rPr>
                <w:caps w:val="false"/>
                <w:smallCaps w:val="false"/>
              </w:rPr>
              <w:t> </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385" w:type="dxa"/>
            <w:tcBorders/>
            <w:tcMar>
              <w:bottom w:w="0" w:type="dxa"/>
            </w:tcMar>
            <w:vAlign w:val="center"/>
          </w:tcPr>
          <w:p>
            <w:pPr>
              <w:pStyle w:val="TableContents"/>
              <w:bidi w:val="0"/>
              <w:spacing w:before="0" w:after="283"/>
              <w:jc w:val="left"/>
              <w:rPr/>
            </w:pPr>
            <w:r>
              <w:rPr/>
              <w:t> </w:t>
            </w:r>
          </w:p>
        </w:tc>
      </w:tr>
      <w:tr>
        <w:trPr/>
        <w:tc>
          <w:tcPr>
            <w:tcW w:w="1835" w:type="dxa"/>
            <w:tcBorders>
              <w:bottom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John Climaco</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Chief Executive Officer and Director</w:t>
            </w:r>
          </w:p>
        </w:tc>
        <w:tc>
          <w:tcPr>
            <w:tcW w:w="60" w:type="dxa"/>
            <w:tcBorders/>
            <w:tcMar>
              <w:bottom w:w="0" w:type="dxa"/>
            </w:tcMar>
            <w:vAlign w:val="center"/>
          </w:tcPr>
          <w:p>
            <w:pPr>
              <w:pStyle w:val="TableContents"/>
              <w:bidi w:val="0"/>
              <w:spacing w:before="0" w:after="283"/>
              <w:jc w:val="left"/>
              <w:rPr/>
            </w:pPr>
            <w:r>
              <w:rPr/>
              <w:t> </w:t>
            </w:r>
          </w:p>
        </w:tc>
        <w:tc>
          <w:tcPr>
            <w:tcW w:w="1385"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August 14, 2024</w:t>
            </w:r>
          </w:p>
        </w:tc>
      </w:tr>
      <w:tr>
        <w:trPr/>
        <w:tc>
          <w:tcPr>
            <w:tcW w:w="1835"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John Climaco</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(principal executive officer)</w:t>
            </w:r>
          </w:p>
        </w:tc>
        <w:tc>
          <w:tcPr>
            <w:tcW w:w="60" w:type="dxa"/>
            <w:tcBorders/>
            <w:tcMar>
              <w:bottom w:w="0" w:type="dxa"/>
            </w:tcMar>
            <w:vAlign w:val="center"/>
          </w:tcPr>
          <w:p>
            <w:pPr>
              <w:pStyle w:val="TableContents"/>
              <w:bidi w:val="0"/>
              <w:spacing w:before="0" w:after="283"/>
              <w:jc w:val="left"/>
              <w:rPr/>
            </w:pPr>
            <w:r>
              <w:rPr/>
              <w:t> </w:t>
            </w:r>
          </w:p>
        </w:tc>
        <w:tc>
          <w:tcPr>
            <w:tcW w:w="1385" w:type="dxa"/>
            <w:tcBorders/>
            <w:tcMar>
              <w:bottom w:w="0" w:type="dxa"/>
            </w:tcMar>
            <w:vAlign w:val="center"/>
          </w:tcPr>
          <w:p>
            <w:pPr>
              <w:pStyle w:val="TableContents"/>
              <w:bidi w:val="0"/>
              <w:spacing w:before="0" w:after="283"/>
              <w:jc w:val="left"/>
              <w:rPr/>
            </w:pPr>
            <w:r>
              <w:rPr/>
              <w:t> </w:t>
            </w:r>
          </w:p>
        </w:tc>
      </w:tr>
      <w:tr>
        <w:trPr/>
        <w:tc>
          <w:tcPr>
            <w:tcW w:w="183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385" w:type="dxa"/>
            <w:tcBorders/>
            <w:tcMar>
              <w:bottom w:w="0" w:type="dxa"/>
            </w:tcMar>
            <w:vAlign w:val="center"/>
          </w:tcPr>
          <w:p>
            <w:pPr>
              <w:pStyle w:val="TableContents"/>
              <w:bidi w:val="0"/>
              <w:spacing w:before="0" w:after="283"/>
              <w:jc w:val="left"/>
              <w:rPr/>
            </w:pPr>
            <w:r>
              <w:rPr/>
              <w:t> </w:t>
            </w:r>
          </w:p>
        </w:tc>
      </w:tr>
      <w:tr>
        <w:trPr/>
        <w:tc>
          <w:tcPr>
            <w:tcW w:w="1835" w:type="dxa"/>
            <w:tcBorders>
              <w:bottom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Christopher Downs</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Chief Financial Officer </w:t>
            </w:r>
          </w:p>
        </w:tc>
        <w:tc>
          <w:tcPr>
            <w:tcW w:w="60" w:type="dxa"/>
            <w:tcBorders/>
            <w:tcMar>
              <w:bottom w:w="0" w:type="dxa"/>
            </w:tcMar>
            <w:vAlign w:val="center"/>
          </w:tcPr>
          <w:p>
            <w:pPr>
              <w:pStyle w:val="TableContents"/>
              <w:bidi w:val="0"/>
              <w:spacing w:before="0" w:after="283"/>
              <w:jc w:val="left"/>
              <w:rPr/>
            </w:pPr>
            <w:r>
              <w:rPr/>
              <w:t> </w:t>
            </w:r>
          </w:p>
        </w:tc>
        <w:tc>
          <w:tcPr>
            <w:tcW w:w="1385"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August 14, 2024</w:t>
            </w:r>
          </w:p>
        </w:tc>
      </w:tr>
      <w:tr>
        <w:trPr/>
        <w:tc>
          <w:tcPr>
            <w:tcW w:w="1835"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Christopher Downs</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(principal financial and accounting officer)</w:t>
            </w:r>
          </w:p>
        </w:tc>
        <w:tc>
          <w:tcPr>
            <w:tcW w:w="60" w:type="dxa"/>
            <w:tcBorders/>
            <w:tcMar>
              <w:bottom w:w="0" w:type="dxa"/>
            </w:tcMar>
            <w:vAlign w:val="center"/>
          </w:tcPr>
          <w:p>
            <w:pPr>
              <w:pStyle w:val="TableContents"/>
              <w:bidi w:val="0"/>
              <w:spacing w:before="0" w:after="283"/>
              <w:jc w:val="left"/>
              <w:rPr/>
            </w:pPr>
            <w:r>
              <w:rPr/>
              <w:t> </w:t>
            </w:r>
          </w:p>
        </w:tc>
        <w:tc>
          <w:tcPr>
            <w:tcW w:w="1385" w:type="dxa"/>
            <w:tcBorders/>
            <w:tcMar>
              <w:bottom w:w="0" w:type="dxa"/>
            </w:tcM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418" w:name="cns_ex3101.htm"/>
      <w:bookmarkStart w:id="419" w:name="kscns_ex3101"/>
      <w:bookmarkEnd w:id="418"/>
      <w:bookmarkEnd w:id="419"/>
      <w:r>
        <w:rPr>
          <w:rFonts w:ascii="Times New Roman;Times;Serif" w:hAnsi="Times New Roman;Times;Serif"/>
          <w:b/>
          <w:i w:val="false"/>
          <w:caps w:val="false"/>
          <w:smallCaps w:val="false"/>
          <w:sz w:val="20"/>
        </w:rPr>
        <w:t>Exhibit 31.1</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BY CHIEF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John Climaco, certify that: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I have reviewed this quarterly report on Form 10-Q of CNS Pharmaceuticals, Inc.;</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 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5. 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all significant deficiencies and material weaknesses in the design or operation of internal control over financial reporting which are reasonably likely to adversely affect the registrant’s ability to record, process, summarize and report financial information; and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any fraud, whether or not material, that involves management or other employees who have a significant role in the registrant’s internal control over financial reporting.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August 14,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By: </w:t>
      </w:r>
      <w:r>
        <w:rPr>
          <w:rFonts w:ascii="Times New Roman;Times;Serif" w:hAnsi="Times New Roman;Times;Serif"/>
          <w:b w:val="false"/>
          <w:i w:val="false"/>
          <w:caps w:val="false"/>
          <w:smallCaps w:val="false"/>
          <w:sz w:val="20"/>
          <w:u w:val="single"/>
        </w:rPr>
        <w:t>/s/ John Climaco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John Climaco</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Executive Officer</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420" w:name="cns_ex3102.htm"/>
      <w:bookmarkStart w:id="421" w:name="kscns_ex3102"/>
      <w:bookmarkEnd w:id="420"/>
      <w:bookmarkEnd w:id="421"/>
      <w:r>
        <w:rPr>
          <w:rFonts w:ascii="Times New Roman;Times;Serif" w:hAnsi="Times New Roman;Times;Serif"/>
          <w:b/>
          <w:i w:val="false"/>
          <w:caps w:val="false"/>
          <w:smallCaps w:val="false"/>
          <w:sz w:val="20"/>
        </w:rPr>
        <w:t>Exhibit 31.2</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BY CHIEF FINANCIAL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Christopher Downs, certify that: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I have reviewed this quarterly report on Form 10-Q of CNS Pharmaceuticals, Inc.;</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 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5. 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all significant deficiencies and material weaknesses in the design or operation of internal control over financial reporting which are reasonably likely to adversely affect the registrant’s ability to record, process, summarize and report financial information;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any fraud, whether or not material, that involves management or other employees who have a significant role in the registrant’s internal control over financial reporting.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August 14,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By: </w:t>
      </w:r>
      <w:r>
        <w:rPr>
          <w:rFonts w:ascii="Times New Roman;Times;Serif" w:hAnsi="Times New Roman;Times;Serif"/>
          <w:b w:val="false"/>
          <w:i w:val="false"/>
          <w:caps w:val="false"/>
          <w:smallCaps w:val="false"/>
          <w:sz w:val="20"/>
          <w:u w:val="single"/>
        </w:rPr>
        <w:t>/s/ Christopher Downs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Christopher Downs</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Financial Officer</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financial and accounting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422" w:name="cns_ex3201.htm"/>
      <w:bookmarkStart w:id="423" w:name="kscns_ex3201"/>
      <w:bookmarkEnd w:id="422"/>
      <w:bookmarkEnd w:id="423"/>
      <w:r>
        <w:rPr>
          <w:rFonts w:ascii="Times New Roman;Times;Serif" w:hAnsi="Times New Roman;Times;Serif"/>
          <w:b/>
          <w:i w:val="false"/>
          <w:caps w:val="false"/>
          <w:smallCaps w:val="false"/>
          <w:sz w:val="20"/>
        </w:rPr>
        <w:t>Exhibit 32.1</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OF CHIEF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(Subsections (a) and (b) of Section 1350, Chapter 63 of Title 18, United States Code)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quarterly report on Form 10-Q for the quarter ended June 30, 2024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August 14,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By: </w:t>
      </w:r>
      <w:r>
        <w:rPr>
          <w:rFonts w:ascii="Times New Roman;Times;Serif" w:hAnsi="Times New Roman;Times;Serif"/>
          <w:b w:val="false"/>
          <w:i w:val="false"/>
          <w:caps w:val="false"/>
          <w:smallCaps w:val="false"/>
          <w:sz w:val="20"/>
          <w:u w:val="single"/>
        </w:rPr>
        <w:t>/s/ John Climaco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John Climaco</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Executive Officer</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jc w:val="right"/>
        <w:rPr>
          <w:b/>
        </w:rPr>
      </w:pPr>
      <w:bookmarkStart w:id="424" w:name="cns_ex3202.htm"/>
      <w:bookmarkStart w:id="425" w:name="kscns_ex3202"/>
      <w:bookmarkEnd w:id="424"/>
      <w:bookmarkEnd w:id="425"/>
      <w:r>
        <w:rPr>
          <w:b/>
        </w:rPr>
        <w:t>Exhibit 32.2</w:t>
      </w:r>
      <w:r>
        <w:br w:type="page"/>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OF CHIEF EXECUTIVE OFFICER</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(Subsections (a) and (b) of Section 1350, Chapter 63 of Title 18, United States Code)</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quarterly report on Form 10-Q for the quarter ended June 30, 2024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August 14, 2024</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By: </w:t>
      </w:r>
      <w:r>
        <w:rPr>
          <w:rFonts w:ascii="Times New Roman;Times;Serif" w:hAnsi="Times New Roman;Times;Serif"/>
          <w:b w:val="false"/>
          <w:i w:val="false"/>
          <w:caps w:val="false"/>
          <w:smallCaps w:val="false"/>
          <w:sz w:val="20"/>
          <w:u w:val="single"/>
        </w:rPr>
        <w:t>/s/ Christopher Downs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Christopher Downs</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Financial Officer</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financial and accounting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283"/>
        <w:jc w:val="left"/>
        <w:rPr/>
      </w:pPr>
      <w:r>
        <w:rPr/>
        <w:t> </w:t>
      </w:r>
    </w:p>
    <w:sectPr>
      <w:type w:val="continuous"/>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 w:name="Times New Roman">
    <w:altName w:val="Times"/>
    <w:charset w:val="01"/>
    <w:family w:val="auto"/>
    <w:pitch w:val="default"/>
  </w:font>
  <w:font w:name="Symbol">
    <w:charset w:val="01"/>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Tahoma"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TextBody">
    <w:name w:val="Body Text"/>
    <w:basedOn w:val="Normal"/>
    <w:pPr>
      <w:spacing w:before="0" w:after="283"/>
    </w:pPr>
    <w:rPr/>
  </w:style>
  <w:style w:type="paragraph" w:styleId="Sender">
    <w:name w:val="Envelope Return"/>
    <w:basedOn w:val="Normal"/>
    <w:pPr/>
    <w:rPr>
      <w:i/>
    </w:rPr>
  </w:style>
  <w:style w:type="paragraph" w:styleId="TableContents">
    <w:name w:val="Table Contents"/>
    <w:basedOn w:val="TextBody"/>
    <w:qFormat/>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ec.gov/Archives/edgar/data/1729427/000168316824002961/cns_0301.htm" TargetMode="External"/><Relationship Id="rId3" Type="http://schemas.openxmlformats.org/officeDocument/2006/relationships/hyperlink" Target="https://www.sec.gov/Archives/edgar/data/1729427/000168316824003998/cns_ex0301.htm" TargetMode="External"/><Relationship Id="rId4" Type="http://schemas.openxmlformats.org/officeDocument/2006/relationships/hyperlink" Target="http://www.sec.gov/Archives/edgar/data/1729427/000168316824000660/cns_ex0401.htm" TargetMode="External"/><Relationship Id="rId5" Type="http://schemas.openxmlformats.org/officeDocument/2006/relationships/hyperlink" Target="http://www.sec.gov/Archives/edgar/data/1729427/000168316824000660/cns_ex0403.htm" TargetMode="External"/><Relationship Id="rId6" Type="http://schemas.openxmlformats.org/officeDocument/2006/relationships/hyperlink" Target="http://www.sec.gov/Archives/edgar/data/1729427/000168316824000660/cns_ex0401.htm" TargetMode="External"/><Relationship Id="rId7" Type="http://schemas.openxmlformats.org/officeDocument/2006/relationships/hyperlink" Target="http://www.sec.gov/Archives/edgar/data/1729427/000168316824000660/cns_ex0401.htm" TargetMode="External"/><Relationship Id="rId8" Type="http://schemas.openxmlformats.org/officeDocument/2006/relationships/hyperlink" Target="http://www.sec.gov/Archives/edgar/data/1729427/000168316824000660/cns_ex0101.htm" TargetMode="External"/><Relationship Id="rId9" Type="http://schemas.openxmlformats.org/officeDocument/2006/relationships/hyperlink" Target="http://www.sec.gov/Archives/edgar/data/1729427/000168316824000660/cns_ex1001.htm" TargetMode="External"/><Relationship Id="rId10" Type="http://schemas.openxmlformats.org/officeDocument/2006/relationships/hyperlink" Target="http://www.sec.gov/Archives/edgar/data/1729427/000168316824002961/cns_1001.htm" TargetMode="External"/><Relationship Id="rId11" Type="http://schemas.openxmlformats.org/officeDocument/2006/relationships/hyperlink" Target="http://www.sec.gov/Archives/edgar/data/1729427/000168316824000660/cns_ex0101.htm" TargetMode="External"/><Relationship Id="rId12" Type="http://schemas.openxmlformats.org/officeDocument/2006/relationships/hyperlink" Target="http://www.sec.gov/Archives/edgar/data/1729427/000168316824000660/cns_ex1001.htm" TargetMode="External"/><Relationship Id="rId13" Type="http://schemas.openxmlformats.org/officeDocument/2006/relationships/hyperlink" Target="http://www.sec.gov/Archives/edgar/data/1729427/000168316824000660/cns_ex0101.htm" TargetMode="External"/><Relationship Id="rId14" Type="http://schemas.openxmlformats.org/officeDocument/2006/relationships/hyperlink" Target="http://www.sec.gov/Archives/edgar/data/1729427/000168316824000660/cns_ex1001.htm" TargetMode="External"/><Relationship Id="rId15" Type="http://schemas.openxmlformats.org/officeDocument/2006/relationships/hyperlink" Target="https://www.sec.gov/Archives/edgar/data/1729427/000168316824005070/cns_ex0101.htm" TargetMode="External"/><Relationship Id="rId16" Type="http://schemas.openxmlformats.org/officeDocument/2006/relationships/hyperlink" Target="https://www.sec.gov/Archives/edgar/data/1729427/000168316824005070/cns_ex1001.htm" TargetMode="External"/><Relationship Id="rId17" Type="http://schemas.openxmlformats.org/officeDocument/2006/relationships/hyperlink" Target="https://www.sec.gov/Archives/edgar/data/1729427/000168316824005118/cns_ex1001.htm" TargetMode="External"/><Relationship Id="rId18" Type="http://schemas.openxmlformats.org/officeDocument/2006/relationships/hyperlink" Target="https://www.sec.gov/Archives/edgar/data/1729427/000168316824005118/cns_ex1002.htm" TargetMode="Externa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8</Pages>
  <Words>15237</Words>
  <Characters>82366</Characters>
  <CharactersWithSpaces>99102</CharactersWithSpaces>
  <Paragraphs>3423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