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FORM 10-K/A</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1)</w:t>
      </w:r>
    </w:p>
    <w:p>
      <w:pPr>
        <w:spacing w:after="0" w:line="201" w:lineRule="exact"/>
        <w:rPr>
          <w:sz w:val="24"/>
          <w:szCs w:val="24"/>
          <w:color w:val="auto"/>
        </w:rPr>
      </w:pPr>
    </w:p>
    <w:p>
      <w:pPr>
        <w:ind w:left="3920" w:right="1960" w:hanging="3912"/>
        <w:spacing w:after="0" w:line="500" w:lineRule="auto"/>
        <w:tabs>
          <w:tab w:leader="none" w:pos="489" w:val="left"/>
        </w:tabs>
        <w:numPr>
          <w:ilvl w:val="0"/>
          <w:numId w:val="1"/>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ANNUAL REPORT PURSUANT TO SECTION 13 OR 15(d) OF THE SECURITIES EXCHANGE ACT OF 1934 For the fiscal year ended December 31, 2024</w:t>
      </w:r>
    </w:p>
    <w:p>
      <w:pPr>
        <w:spacing w:after="0" w:line="2"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2800" w:right="1960" w:hanging="2792"/>
        <w:spacing w:after="0" w:line="500" w:lineRule="auto"/>
        <w:tabs>
          <w:tab w:leader="none" w:pos="496" w:val="left"/>
        </w:tabs>
        <w:numPr>
          <w:ilvl w:val="0"/>
          <w:numId w:val="2"/>
        </w:numPr>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 xml:space="preserve">ANNUAL REPORT PURSUANT TO SECTION 13 OR 15(d) OF THE SECURITIES EXCHANGE ACT OF 1934 </w:t>
      </w:r>
      <w:r>
        <w:rPr>
          <w:rFonts w:ascii="Times New Roman" w:cs="Times New Roman" w:eastAsia="Times New Roman" w:hAnsi="Times New Roman"/>
          <w:sz w:val="18"/>
          <w:szCs w:val="18"/>
          <w:color w:val="auto"/>
        </w:rPr>
        <w:t>For the transition period from _________________ to ___________________</w:t>
      </w:r>
    </w:p>
    <w:p>
      <w:pPr>
        <w:spacing w:after="0" w:line="1" w:lineRule="exact"/>
        <w:rPr>
          <w:rFonts w:ascii="MS PGothic" w:cs="MS PGothic" w:eastAsia="MS PGothic" w:hAnsi="MS PGothic"/>
          <w:sz w:val="18"/>
          <w:szCs w:val="18"/>
          <w:color w:val="auto"/>
          <w:highlight w:val="black"/>
        </w:rPr>
      </w:pPr>
    </w:p>
    <w:p>
      <w:pPr>
        <w:ind w:left="4200"/>
        <w:spacing w:after="0"/>
        <w:rPr>
          <w:rFonts w:ascii="MS PGothic" w:cs="MS PGothic" w:eastAsia="MS PGothic" w:hAnsi="MS PGothic"/>
          <w:sz w:val="18"/>
          <w:szCs w:val="18"/>
          <w:color w:val="auto"/>
          <w:highlight w:val="black"/>
        </w:rPr>
      </w:pPr>
      <w:r>
        <w:rPr>
          <w:rFonts w:ascii="Times New Roman" w:cs="Times New Roman" w:eastAsia="Times New Roman" w:hAnsi="Times New Roman"/>
          <w:sz w:val="18"/>
          <w:szCs w:val="18"/>
          <w:b w:val="1"/>
          <w:bCs w:val="1"/>
          <w:color w:val="auto"/>
        </w:rPr>
        <w:t>Commission File Number: 001-39126</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(Exact Name of Registrant as Specified in its Charter)</w:t>
      </w:r>
    </w:p>
    <w:p>
      <w:pPr>
        <w:sectPr>
          <w:pgSz w:w="11900" w:h="16838" w:orient="portrait"/>
          <w:cols w:equalWidth="0" w:num="1">
            <w:col w:w="11240"/>
          </w:cols>
          <w:pgMar w:left="320" w:top="229" w:right="339" w:bottom="96" w:gutter="0" w:footer="0" w:header="0"/>
        </w:sectPr>
      </w:pPr>
    </w:p>
    <w:p>
      <w:pPr>
        <w:spacing w:after="0" w:line="201" w:lineRule="exact"/>
        <w:rPr>
          <w:sz w:val="24"/>
          <w:szCs w:val="24"/>
          <w:color w:val="auto"/>
        </w:rPr>
      </w:pPr>
    </w:p>
    <w:p>
      <w:pPr>
        <w:ind w:left="162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ind w:left="760"/>
        <w:spacing w:after="0"/>
        <w:rPr>
          <w:sz w:val="20"/>
          <w:szCs w:val="20"/>
          <w:color w:val="auto"/>
        </w:rPr>
      </w:pPr>
      <w:r>
        <w:rPr>
          <w:rFonts w:ascii="Times New Roman" w:cs="Times New Roman" w:eastAsia="Times New Roman" w:hAnsi="Times New Roman"/>
          <w:sz w:val="18"/>
          <w:szCs w:val="18"/>
          <w:b w:val="1"/>
          <w:bCs w:val="1"/>
          <w:color w:val="auto"/>
        </w:rPr>
        <w:t>(State or Other Jurisdiction of</w:t>
      </w:r>
    </w:p>
    <w:p>
      <w:pPr>
        <w:spacing w:after="0" w:line="9" w:lineRule="exact"/>
        <w:rPr>
          <w:sz w:val="24"/>
          <w:szCs w:val="24"/>
          <w:color w:val="auto"/>
        </w:rPr>
      </w:pPr>
    </w:p>
    <w:p>
      <w:pPr>
        <w:ind w:left="700"/>
        <w:spacing w:after="0"/>
        <w:rPr>
          <w:sz w:val="20"/>
          <w:szCs w:val="20"/>
          <w:color w:val="auto"/>
        </w:rPr>
      </w:pPr>
      <w:r>
        <w:rPr>
          <w:rFonts w:ascii="Times New Roman" w:cs="Times New Roman" w:eastAsia="Times New Roman" w:hAnsi="Times New Roman"/>
          <w:sz w:val="17"/>
          <w:szCs w:val="17"/>
          <w:b w:val="1"/>
          <w:bCs w:val="1"/>
          <w:color w:val="auto"/>
        </w:rPr>
        <w:t>Incorporation or Organization)</w:t>
      </w:r>
    </w:p>
    <w:p>
      <w:pPr>
        <w:spacing w:after="0" w:line="20" w:lineRule="exact"/>
        <w:rPr>
          <w:sz w:val="24"/>
          <w:szCs w:val="24"/>
          <w:color w:val="auto"/>
        </w:rPr>
      </w:pPr>
      <w:r>
        <w:rPr>
          <w:sz w:val="24"/>
          <w:szCs w:val="24"/>
          <w:color w:val="auto"/>
        </w:rPr>
        <w:br w:type="column"/>
      </w:r>
    </w:p>
    <w:p>
      <w:pPr>
        <w:spacing w:after="0" w:line="181" w:lineRule="exact"/>
        <w:rPr>
          <w:sz w:val="24"/>
          <w:szCs w:val="24"/>
          <w:color w:val="auto"/>
        </w:rPr>
      </w:pPr>
    </w:p>
    <w:p>
      <w:pPr>
        <w:jc w:val="center"/>
        <w:ind w:right="4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480"/>
        <w:spacing w:after="0"/>
        <w:rPr>
          <w:sz w:val="20"/>
          <w:szCs w:val="20"/>
          <w:color w:val="auto"/>
        </w:rPr>
      </w:pPr>
      <w:r>
        <w:rPr>
          <w:rFonts w:ascii="Times New Roman" w:cs="Times New Roman" w:eastAsia="Times New Roman" w:hAnsi="Times New Roman"/>
          <w:sz w:val="17"/>
          <w:szCs w:val="17"/>
          <w:b w:val="1"/>
          <w:bCs w:val="1"/>
          <w:color w:val="auto"/>
        </w:rPr>
        <w:t>(I.R.S. Employer Identification No.)</w:t>
      </w:r>
    </w:p>
    <w:p>
      <w:pPr>
        <w:spacing w:after="0" w:line="415" w:lineRule="exact"/>
        <w:rPr>
          <w:sz w:val="24"/>
          <w:szCs w:val="24"/>
          <w:color w:val="auto"/>
        </w:rPr>
      </w:pPr>
    </w:p>
    <w:p>
      <w:pPr>
        <w:sectPr>
          <w:pgSz w:w="11900" w:h="16838" w:orient="portrait"/>
          <w:cols w:equalWidth="0" w:num="2">
            <w:col w:w="7300" w:space="720"/>
            <w:col w:w="3220"/>
          </w:cols>
          <w:pgMar w:left="320" w:top="229" w:right="339" w:bottom="96" w:gutter="0" w:footer="0" w:header="0"/>
          <w:type w:val="continuous"/>
        </w:sectPr>
      </w:pPr>
    </w:p>
    <w:p>
      <w:pPr>
        <w:spacing w:after="0" w:line="1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(Address of Principal Executive Offices) (Zip Code)</w:t>
      </w:r>
    </w:p>
    <w:p>
      <w:pPr>
        <w:sectPr>
          <w:pgSz w:w="11900" w:h="16838" w:orient="portrait"/>
          <w:cols w:equalWidth="0" w:num="1">
            <w:col w:w="11240"/>
          </w:cols>
          <w:pgMar w:left="320" w:top="229" w:right="339" w:bottom="96" w:gutter="0" w:footer="0" w:header="0"/>
          <w:type w:val="continuous"/>
        </w:sectPr>
      </w:pPr>
    </w:p>
    <w:p>
      <w:pPr>
        <w:spacing w:after="0" w:line="214" w:lineRule="exact"/>
        <w:rPr>
          <w:sz w:val="24"/>
          <w:szCs w:val="24"/>
          <w:color w:val="auto"/>
        </w:rPr>
      </w:pPr>
    </w:p>
    <w:p>
      <w:pPr>
        <w:ind w:left="3000"/>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800-946-9185</w:t>
      </w:r>
    </w:p>
    <w:p>
      <w:pPr>
        <w:spacing w:after="0" w:line="225"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registered pursuant to Section 12(b) of the Exchange Act:</w:t>
      </w:r>
    </w:p>
    <w:p>
      <w:pPr>
        <w:spacing w:after="0" w:line="227"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180" w:type="dxa"/>
            <w:vAlign w:val="bottom"/>
            <w:tcBorders>
              <w:top w:val="single" w:sz="8" w:color="auto"/>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640" w:type="dxa"/>
            <w:vAlign w:val="bottom"/>
            <w:tcBorders>
              <w:top w:val="single" w:sz="8" w:color="auto"/>
              <w:bottom w:val="single" w:sz="8" w:color="auto"/>
            </w:tcBorders>
          </w:tcPr>
          <w:p>
            <w:pPr>
              <w:spacing w:after="0"/>
              <w:rPr>
                <w:sz w:val="19"/>
                <w:szCs w:val="19"/>
                <w:color w:val="auto"/>
              </w:rPr>
            </w:pPr>
          </w:p>
        </w:tc>
        <w:tc>
          <w:tcPr>
            <w:tcW w:w="2520" w:type="dxa"/>
            <w:vAlign w:val="bottom"/>
            <w:tcBorders>
              <w:top w:val="single" w:sz="8" w:color="auto"/>
              <w:bottom w:val="single" w:sz="8" w:color="auto"/>
              <w:right w:val="single" w:sz="8" w:color="auto"/>
            </w:tcBorders>
          </w:tcPr>
          <w:p>
            <w:pPr>
              <w:jc w:val="center"/>
              <w:ind w:right="590"/>
              <w:spacing w:after="0"/>
              <w:rPr>
                <w:sz w:val="20"/>
                <w:szCs w:val="20"/>
                <w:color w:val="auto"/>
              </w:rPr>
            </w:pPr>
            <w:r>
              <w:rPr>
                <w:rFonts w:ascii="Times New Roman" w:cs="Times New Roman" w:eastAsia="Times New Roman" w:hAnsi="Times New Roman"/>
                <w:sz w:val="18"/>
                <w:szCs w:val="18"/>
                <w:color w:val="auto"/>
                <w:w w:val="99"/>
              </w:rPr>
              <w:t>Trading Symbol(s)</w:t>
            </w:r>
          </w:p>
        </w:tc>
        <w:tc>
          <w:tcPr>
            <w:tcW w:w="3900" w:type="dxa"/>
            <w:vAlign w:val="bottom"/>
            <w:tcBorders>
              <w:top w:val="single" w:sz="8" w:color="auto"/>
              <w:bottom w:val="single" w:sz="8" w:color="auto"/>
              <w:right w:val="single" w:sz="8" w:color="auto"/>
            </w:tcBorders>
            <w:gridSpan w:val="3"/>
          </w:tcPr>
          <w:p>
            <w:pPr>
              <w:jc w:val="center"/>
              <w:spacing w:after="0"/>
              <w:rPr>
                <w:sz w:val="20"/>
                <w:szCs w:val="20"/>
                <w:color w:val="auto"/>
              </w:rPr>
            </w:pPr>
            <w:r>
              <w:rPr>
                <w:rFonts w:ascii="Times New Roman" w:cs="Times New Roman" w:eastAsia="Times New Roman" w:hAnsi="Times New Roman"/>
                <w:sz w:val="18"/>
                <w:szCs w:val="18"/>
                <w:color w:val="auto"/>
                <w:w w:val="99"/>
              </w:rPr>
              <w:t>Name of each exchange on which registered</w:t>
            </w:r>
          </w:p>
        </w:tc>
      </w:tr>
      <w:tr>
        <w:trPr>
          <w:trHeight w:val="210"/>
        </w:trPr>
        <w:tc>
          <w:tcPr>
            <w:tcW w:w="418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w:t>
            </w:r>
          </w:p>
        </w:tc>
        <w:tc>
          <w:tcPr>
            <w:tcW w:w="640" w:type="dxa"/>
            <w:vAlign w:val="bottom"/>
            <w:tcBorders>
              <w:bottom w:val="single" w:sz="8" w:color="auto"/>
            </w:tcBorders>
          </w:tcPr>
          <w:p>
            <w:pPr>
              <w:spacing w:after="0"/>
              <w:rPr>
                <w:sz w:val="18"/>
                <w:szCs w:val="18"/>
                <w:color w:val="auto"/>
              </w:rPr>
            </w:pPr>
          </w:p>
        </w:tc>
        <w:tc>
          <w:tcPr>
            <w:tcW w:w="2520" w:type="dxa"/>
            <w:vAlign w:val="bottom"/>
            <w:tcBorders>
              <w:bottom w:val="single" w:sz="8" w:color="auto"/>
              <w:right w:val="single" w:sz="8" w:color="auto"/>
            </w:tcBorders>
          </w:tcPr>
          <w:p>
            <w:pPr>
              <w:jc w:val="center"/>
              <w:ind w:right="570"/>
              <w:spacing w:after="0"/>
              <w:rPr>
                <w:sz w:val="20"/>
                <w:szCs w:val="20"/>
                <w:color w:val="auto"/>
              </w:rPr>
            </w:pPr>
            <w:r>
              <w:rPr>
                <w:rFonts w:ascii="Times New Roman" w:cs="Times New Roman" w:eastAsia="Times New Roman" w:hAnsi="Times New Roman"/>
                <w:sz w:val="18"/>
                <w:szCs w:val="18"/>
                <w:color w:val="auto"/>
              </w:rPr>
              <w:t>CNSP</w:t>
            </w:r>
          </w:p>
        </w:tc>
        <w:tc>
          <w:tcPr>
            <w:tcW w:w="3900" w:type="dxa"/>
            <w:vAlign w:val="bottom"/>
            <w:tcBorders>
              <w:bottom w:val="single" w:sz="8" w:color="auto"/>
              <w:right w:val="single" w:sz="8" w:color="auto"/>
            </w:tcBorders>
            <w:gridSpan w:val="3"/>
          </w:tcPr>
          <w:p>
            <w:pPr>
              <w:jc w:val="center"/>
              <w:spacing w:after="0"/>
              <w:rPr>
                <w:sz w:val="20"/>
                <w:szCs w:val="20"/>
                <w:color w:val="auto"/>
              </w:rPr>
            </w:pPr>
            <w:r>
              <w:rPr>
                <w:rFonts w:ascii="Times New Roman" w:cs="Times New Roman" w:eastAsia="Times New Roman" w:hAnsi="Times New Roman"/>
                <w:sz w:val="18"/>
                <w:szCs w:val="18"/>
                <w:color w:val="auto"/>
                <w:w w:val="99"/>
              </w:rPr>
              <w:t>The NASDAQ Stock Market LLC</w:t>
            </w:r>
          </w:p>
        </w:tc>
      </w:tr>
      <w:tr>
        <w:trPr>
          <w:trHeight w:val="425"/>
        </w:trPr>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Securities registered pursuant to Section 12(g) of the Act: None</w:t>
            </w:r>
          </w:p>
        </w:tc>
        <w:tc>
          <w:tcPr>
            <w:tcW w:w="2520" w:type="dxa"/>
            <w:vAlign w:val="bottom"/>
          </w:tcPr>
          <w:p>
            <w:pPr>
              <w:spacing w:after="0"/>
              <w:rPr>
                <w:sz w:val="24"/>
                <w:szCs w:val="24"/>
                <w:color w:val="auto"/>
              </w:rPr>
            </w:pPr>
          </w:p>
        </w:tc>
        <w:tc>
          <w:tcPr>
            <w:tcW w:w="12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1920" w:type="dxa"/>
            <w:vAlign w:val="bottom"/>
          </w:tcPr>
          <w:p>
            <w:pPr>
              <w:spacing w:after="0"/>
              <w:rPr>
                <w:sz w:val="24"/>
                <w:szCs w:val="24"/>
                <w:color w:val="auto"/>
              </w:rPr>
            </w:pPr>
          </w:p>
        </w:tc>
      </w:tr>
      <w:tr>
        <w:trPr>
          <w:trHeight w:val="460"/>
        </w:trPr>
        <w:tc>
          <w:tcPr>
            <w:tcW w:w="8620" w:type="dxa"/>
            <w:vAlign w:val="bottom"/>
            <w:gridSpan w:val="4"/>
          </w:tcPr>
          <w:p>
            <w:pPr>
              <w:spacing w:after="0"/>
              <w:rPr>
                <w:sz w:val="20"/>
                <w:szCs w:val="20"/>
                <w:color w:val="auto"/>
              </w:rPr>
            </w:pPr>
            <w:r>
              <w:rPr>
                <w:rFonts w:ascii="Times New Roman" w:cs="Times New Roman" w:eastAsia="Times New Roman" w:hAnsi="Times New Roman"/>
                <w:sz w:val="18"/>
                <w:szCs w:val="18"/>
                <w:color w:val="auto"/>
              </w:rPr>
              <w:t>Indicate by check mark if the registrant is a well-known seasoned issuer, as defined in Rule 405 of the Securities Act.</w:t>
            </w:r>
          </w:p>
        </w:tc>
        <w:tc>
          <w:tcPr>
            <w:tcW w:w="700" w:type="dxa"/>
            <w:vAlign w:val="bottom"/>
          </w:tcPr>
          <w:p>
            <w:pPr>
              <w:spacing w:after="0" w:line="207" w:lineRule="exact"/>
              <w:rPr>
                <w:sz w:val="20"/>
                <w:szCs w:val="20"/>
                <w:color w:val="auto"/>
              </w:rPr>
            </w:pPr>
            <w:r>
              <w:rPr>
                <w:rFonts w:ascii="Times New Roman" w:cs="Times New Roman" w:eastAsia="Times New Roman" w:hAnsi="Times New Roman"/>
                <w:sz w:val="18"/>
                <w:szCs w:val="18"/>
                <w:color w:val="auto"/>
              </w:rPr>
              <w:t xml:space="preserve">Yes </w:t>
            </w:r>
            <w:r>
              <w:rPr>
                <w:rFonts w:ascii="MS PGothic" w:cs="MS PGothic" w:eastAsia="MS PGothic" w:hAnsi="MS PGothic"/>
                <w:sz w:val="18"/>
                <w:szCs w:val="18"/>
                <w:color w:val="auto"/>
                <w:highlight w:val="black"/>
              </w:rPr>
              <w:t>☐</w:t>
            </w:r>
          </w:p>
        </w:tc>
        <w:tc>
          <w:tcPr>
            <w:tcW w:w="1920" w:type="dxa"/>
            <w:vAlign w:val="bottom"/>
          </w:tcPr>
          <w:p>
            <w:pPr>
              <w:spacing w:after="0" w:line="207" w:lineRule="exact"/>
              <w:rPr>
                <w:sz w:val="20"/>
                <w:szCs w:val="20"/>
                <w:color w:val="auto"/>
              </w:rPr>
            </w:pPr>
            <w:r>
              <w:rPr>
                <w:rFonts w:ascii="Times New Roman" w:cs="Times New Roman" w:eastAsia="Times New Roman" w:hAnsi="Times New Roman"/>
                <w:sz w:val="18"/>
                <w:szCs w:val="18"/>
                <w:color w:val="auto"/>
              </w:rPr>
              <w:t xml:space="preserve">No  </w:t>
            </w:r>
            <w:r>
              <w:rPr>
                <w:rFonts w:ascii="MS PGothic" w:cs="MS PGothic" w:eastAsia="MS PGothic" w:hAnsi="MS PGothic"/>
                <w:sz w:val="18"/>
                <w:szCs w:val="18"/>
                <w:color w:val="auto"/>
                <w:highlight w:val="black"/>
              </w:rPr>
              <w:t>☒</w:t>
            </w:r>
          </w:p>
        </w:tc>
      </w:tr>
      <w:tr>
        <w:trPr>
          <w:trHeight w:val="432"/>
        </w:trPr>
        <w:tc>
          <w:tcPr>
            <w:tcW w:w="8620" w:type="dxa"/>
            <w:vAlign w:val="bottom"/>
            <w:gridSpan w:val="4"/>
          </w:tcPr>
          <w:p>
            <w:pPr>
              <w:spacing w:after="0"/>
              <w:rPr>
                <w:sz w:val="20"/>
                <w:szCs w:val="20"/>
                <w:color w:val="auto"/>
              </w:rPr>
            </w:pPr>
            <w:r>
              <w:rPr>
                <w:rFonts w:ascii="Times New Roman" w:cs="Times New Roman" w:eastAsia="Times New Roman" w:hAnsi="Times New Roman"/>
                <w:sz w:val="18"/>
                <w:szCs w:val="18"/>
                <w:color w:val="auto"/>
                <w:w w:val="99"/>
              </w:rPr>
              <w:t>Indicate by check mark if the registrant is not required to file reports pursuant to Section 13 or Section 15(d) of the Act.</w:t>
            </w:r>
          </w:p>
        </w:tc>
        <w:tc>
          <w:tcPr>
            <w:tcW w:w="700" w:type="dxa"/>
            <w:vAlign w:val="bottom"/>
          </w:tcPr>
          <w:p>
            <w:pPr>
              <w:ind w:left="180"/>
              <w:spacing w:after="0" w:line="207" w:lineRule="exact"/>
              <w:rPr>
                <w:sz w:val="20"/>
                <w:szCs w:val="20"/>
                <w:color w:val="auto"/>
              </w:rPr>
            </w:pPr>
            <w:r>
              <w:rPr>
                <w:rFonts w:ascii="Times New Roman" w:cs="Times New Roman" w:eastAsia="Times New Roman" w:hAnsi="Times New Roman"/>
                <w:sz w:val="18"/>
                <w:szCs w:val="18"/>
                <w:color w:val="auto"/>
                <w:w w:val="98"/>
              </w:rPr>
              <w:t xml:space="preserve">Yes </w:t>
            </w:r>
            <w:r>
              <w:rPr>
                <w:rFonts w:ascii="MS PGothic" w:cs="MS PGothic" w:eastAsia="MS PGothic" w:hAnsi="MS PGothic"/>
                <w:sz w:val="18"/>
                <w:szCs w:val="18"/>
                <w:color w:val="auto"/>
                <w:highlight w:val="black"/>
                <w:w w:val="98"/>
              </w:rPr>
              <w:t>☐</w:t>
            </w:r>
          </w:p>
        </w:tc>
        <w:tc>
          <w:tcPr>
            <w:tcW w:w="1920" w:type="dxa"/>
            <w:vAlign w:val="bottom"/>
          </w:tcPr>
          <w:p>
            <w:pPr>
              <w:ind w:left="160"/>
              <w:spacing w:after="0" w:line="207" w:lineRule="exact"/>
              <w:rPr>
                <w:sz w:val="20"/>
                <w:szCs w:val="20"/>
                <w:color w:val="auto"/>
              </w:rPr>
            </w:pPr>
            <w:r>
              <w:rPr>
                <w:rFonts w:ascii="Times New Roman" w:cs="Times New Roman" w:eastAsia="Times New Roman" w:hAnsi="Times New Roman"/>
                <w:sz w:val="18"/>
                <w:szCs w:val="18"/>
                <w:color w:val="auto"/>
              </w:rPr>
              <w:t xml:space="preserve">No  </w:t>
            </w:r>
            <w:r>
              <w:rPr>
                <w:rFonts w:ascii="MS PGothic" w:cs="MS PGothic" w:eastAsia="MS PGothic" w:hAnsi="MS PGothic"/>
                <w:sz w:val="18"/>
                <w:szCs w:val="18"/>
                <w:color w:val="auto"/>
                <w:highlight w:val="black"/>
              </w:rPr>
              <w:t>☒</w:t>
            </w:r>
          </w:p>
        </w:tc>
      </w:tr>
    </w:tbl>
    <w:p>
      <w:pPr>
        <w:spacing w:after="0" w:line="170" w:lineRule="exact"/>
        <w:rPr>
          <w:sz w:val="24"/>
          <w:szCs w:val="24"/>
          <w:color w:val="auto"/>
        </w:rPr>
      </w:pPr>
    </w:p>
    <w:p>
      <w:pPr>
        <w:ind w:right="300"/>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periods as the registrant was required to file such reports) and (2) has been subject to such filing requirements for the past 90 days. Yes </w:t>
      </w:r>
      <w:r>
        <w:rPr>
          <w:rFonts w:ascii="MS PGothic" w:cs="MS PGothic" w:eastAsia="MS PGothic" w:hAnsi="MS PGothic"/>
          <w:sz w:val="18"/>
          <w:szCs w:val="18"/>
          <w:color w:val="auto"/>
          <w:highlight w:val="black"/>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highlight w:val="black"/>
        </w:rPr>
        <w:t>☐</w:t>
      </w:r>
    </w:p>
    <w:p>
      <w:pPr>
        <w:spacing w:after="0" w:line="171" w:lineRule="exact"/>
        <w:rPr>
          <w:sz w:val="24"/>
          <w:szCs w:val="24"/>
          <w:color w:val="auto"/>
        </w:rPr>
      </w:pPr>
    </w:p>
    <w:p>
      <w:pPr>
        <w:ind w:right="360"/>
        <w:spacing w:after="0" w:line="239"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rPr>
          <w:rFonts w:ascii="MS PGothic" w:cs="MS PGothic" w:eastAsia="MS PGothic" w:hAnsi="MS PGothic"/>
          <w:sz w:val="18"/>
          <w:szCs w:val="18"/>
          <w:color w:val="auto"/>
          <w:highlight w:val="black"/>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highlight w:val="black"/>
        </w:rPr>
        <w:t>☐</w:t>
      </w:r>
    </w:p>
    <w:p>
      <w:pPr>
        <w:spacing w:after="0" w:line="170" w:lineRule="exact"/>
        <w:rPr>
          <w:sz w:val="24"/>
          <w:szCs w:val="24"/>
          <w:color w:val="auto"/>
        </w:rPr>
      </w:pPr>
    </w:p>
    <w:p>
      <w:pPr>
        <w:ind w:right="32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(check one)</w:t>
      </w:r>
    </w:p>
    <w:p>
      <w:pPr>
        <w:spacing w:after="0" w:line="135" w:lineRule="exact"/>
        <w:rPr>
          <w:sz w:val="24"/>
          <w:szCs w:val="24"/>
          <w:color w:val="auto"/>
        </w:rPr>
      </w:pPr>
    </w:p>
    <w:tbl>
      <w:tblPr>
        <w:tblLayout w:type="fixed"/>
        <w:tblInd w:w="960" w:type="dxa"/>
        <w:tblCellMar>
          <w:top w:w="0" w:type="dxa"/>
          <w:left w:w="0" w:type="dxa"/>
          <w:bottom w:w="0" w:type="dxa"/>
          <w:right w:w="0" w:type="dxa"/>
        </w:tblCellMar>
      </w:tblPr>
      <w:tr>
        <w:trPr>
          <w:trHeight w:val="221"/>
        </w:trPr>
        <w:tc>
          <w:tcPr>
            <w:tcW w:w="166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Large accelerated filer</w:t>
            </w:r>
          </w:p>
        </w:tc>
        <w:tc>
          <w:tcPr>
            <w:tcW w:w="2940" w:type="dxa"/>
            <w:vAlign w:val="bottom"/>
          </w:tcPr>
          <w:p>
            <w:pPr>
              <w:ind w:left="100"/>
              <w:spacing w:after="0" w:line="181" w:lineRule="exact"/>
              <w:rPr>
                <w:sz w:val="20"/>
                <w:szCs w:val="20"/>
                <w:color w:val="auto"/>
              </w:rPr>
            </w:pPr>
            <w:r>
              <w:rPr>
                <w:rFonts w:ascii="MS PGothic" w:cs="MS PGothic" w:eastAsia="MS PGothic" w:hAnsi="MS PGothic"/>
                <w:sz w:val="18"/>
                <w:szCs w:val="18"/>
                <w:color w:val="auto"/>
                <w:highlight w:val="black"/>
              </w:rPr>
              <w:t>☐</w:t>
            </w:r>
          </w:p>
        </w:tc>
        <w:tc>
          <w:tcPr>
            <w:tcW w:w="4740" w:type="dxa"/>
            <w:vAlign w:val="bottom"/>
          </w:tcPr>
          <w:p>
            <w:pPr>
              <w:ind w:left="3080"/>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highlight w:val="black"/>
              </w:rPr>
              <w:t>☐</w:t>
            </w:r>
          </w:p>
        </w:tc>
        <w:tc>
          <w:tcPr>
            <w:tcW w:w="220" w:type="dxa"/>
            <w:vAlign w:val="bottom"/>
            <w:vMerge w:val="restart"/>
          </w:tcPr>
          <w:p>
            <w:pPr>
              <w:ind w:left="60"/>
              <w:spacing w:after="0" w:line="181" w:lineRule="exact"/>
              <w:rPr>
                <w:sz w:val="20"/>
                <w:szCs w:val="20"/>
                <w:color w:val="auto"/>
              </w:rPr>
            </w:pPr>
            <w:r>
              <w:rPr>
                <w:rFonts w:ascii="MS PGothic" w:cs="MS PGothic" w:eastAsia="MS PGothic" w:hAnsi="MS PGothic"/>
                <w:sz w:val="18"/>
                <w:szCs w:val="18"/>
                <w:color w:val="auto"/>
                <w:highlight w:val="black"/>
                <w:w w:val="77"/>
              </w:rPr>
              <w:t>☒</w:t>
            </w:r>
          </w:p>
        </w:tc>
        <w:tc>
          <w:tcPr>
            <w:tcW w:w="0" w:type="dxa"/>
            <w:vAlign w:val="bottom"/>
          </w:tcPr>
          <w:p>
            <w:pPr>
              <w:spacing w:after="0"/>
              <w:rPr>
                <w:sz w:val="1"/>
                <w:szCs w:val="1"/>
                <w:color w:val="auto"/>
              </w:rPr>
            </w:pPr>
          </w:p>
        </w:tc>
      </w:tr>
      <w:tr>
        <w:trPr>
          <w:trHeight w:val="216"/>
        </w:trPr>
        <w:tc>
          <w:tcPr>
            <w:tcW w:w="166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Non-accelerated filer</w:t>
            </w:r>
          </w:p>
        </w:tc>
        <w:tc>
          <w:tcPr>
            <w:tcW w:w="2940" w:type="dxa"/>
            <w:vAlign w:val="bottom"/>
          </w:tcPr>
          <w:p>
            <w:pPr>
              <w:ind w:left="40"/>
              <w:spacing w:after="0" w:line="181" w:lineRule="exact"/>
              <w:rPr>
                <w:sz w:val="20"/>
                <w:szCs w:val="20"/>
                <w:color w:val="auto"/>
              </w:rPr>
            </w:pPr>
            <w:r>
              <w:rPr>
                <w:rFonts w:ascii="MS PGothic" w:cs="MS PGothic" w:eastAsia="MS PGothic" w:hAnsi="MS PGothic"/>
                <w:sz w:val="18"/>
                <w:szCs w:val="18"/>
                <w:color w:val="auto"/>
                <w:highlight w:val="black"/>
              </w:rPr>
              <w:t>☒</w:t>
            </w:r>
          </w:p>
        </w:tc>
        <w:tc>
          <w:tcPr>
            <w:tcW w:w="4740" w:type="dxa"/>
            <w:vAlign w:val="bottom"/>
          </w:tcPr>
          <w:p>
            <w:pPr>
              <w:ind w:left="2700"/>
              <w:spacing w:after="0"/>
              <w:rPr>
                <w:sz w:val="20"/>
                <w:szCs w:val="20"/>
                <w:color w:val="auto"/>
              </w:rPr>
            </w:pPr>
            <w:r>
              <w:rPr>
                <w:rFonts w:ascii="Times New Roman" w:cs="Times New Roman" w:eastAsia="Times New Roman" w:hAnsi="Times New Roman"/>
                <w:sz w:val="18"/>
                <w:szCs w:val="18"/>
                <w:color w:val="auto"/>
              </w:rPr>
              <w:t>Smaller reporting company</w:t>
            </w:r>
          </w:p>
        </w:tc>
        <w:tc>
          <w:tcPr>
            <w:tcW w:w="22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03"/>
        </w:trPr>
        <w:tc>
          <w:tcPr>
            <w:tcW w:w="166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4740" w:type="dxa"/>
            <w:vAlign w:val="bottom"/>
          </w:tcPr>
          <w:p>
            <w:pPr>
              <w:ind w:left="2700"/>
              <w:spacing w:after="0"/>
              <w:rPr>
                <w:sz w:val="20"/>
                <w:szCs w:val="20"/>
                <w:color w:val="auto"/>
              </w:rPr>
            </w:pPr>
            <w:r>
              <w:rPr>
                <w:rFonts w:ascii="Times New Roman" w:cs="Times New Roman" w:eastAsia="Times New Roman" w:hAnsi="Times New Roman"/>
                <w:sz w:val="18"/>
                <w:szCs w:val="18"/>
                <w:color w:val="auto"/>
              </w:rPr>
              <w:t>Emerging growth company</w:t>
            </w:r>
          </w:p>
        </w:tc>
        <w:tc>
          <w:tcPr>
            <w:tcW w:w="220" w:type="dxa"/>
            <w:vAlign w:val="bottom"/>
          </w:tcPr>
          <w:p>
            <w:pPr>
              <w:ind w:left="60"/>
              <w:spacing w:after="0" w:line="181" w:lineRule="exact"/>
              <w:rPr>
                <w:sz w:val="20"/>
                <w:szCs w:val="20"/>
                <w:color w:val="auto"/>
              </w:rPr>
            </w:pPr>
            <w:r>
              <w:rPr>
                <w:rFonts w:ascii="MS PGothic" w:cs="MS PGothic" w:eastAsia="MS PGothic" w:hAnsi="MS PGothic"/>
                <w:sz w:val="18"/>
                <w:szCs w:val="18"/>
                <w:color w:val="auto"/>
                <w:highlight w:val="black"/>
                <w:w w:val="77"/>
              </w:rPr>
              <w:t>☒</w:t>
            </w:r>
          </w:p>
        </w:tc>
        <w:tc>
          <w:tcPr>
            <w:tcW w:w="0" w:type="dxa"/>
            <w:vAlign w:val="bottom"/>
          </w:tcPr>
          <w:p>
            <w:pPr>
              <w:spacing w:after="0"/>
              <w:rPr>
                <w:sz w:val="1"/>
                <w:szCs w:val="1"/>
                <w:color w:val="auto"/>
              </w:rPr>
            </w:pPr>
          </w:p>
        </w:tc>
      </w:tr>
    </w:tbl>
    <w:p>
      <w:pPr>
        <w:spacing w:after="0" w:line="165" w:lineRule="exact"/>
        <w:rPr>
          <w:sz w:val="24"/>
          <w:szCs w:val="24"/>
          <w:color w:val="auto"/>
        </w:rPr>
      </w:pPr>
    </w:p>
    <w:p>
      <w:pPr>
        <w:ind w:right="16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highlight w:val="black"/>
        </w:rPr>
        <w:t>☐</w:t>
      </w:r>
    </w:p>
    <w:p>
      <w:pPr>
        <w:spacing w:after="0" w:line="170" w:lineRule="exact"/>
        <w:rPr>
          <w:sz w:val="24"/>
          <w:szCs w:val="24"/>
          <w:color w:val="auto"/>
        </w:rPr>
      </w:pPr>
    </w:p>
    <w:p>
      <w:pPr>
        <w:ind w:right="40"/>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MS PGothic" w:cs="MS PGothic" w:eastAsia="MS PGothic" w:hAnsi="MS PGothic"/>
          <w:sz w:val="18"/>
          <w:szCs w:val="18"/>
          <w:color w:val="auto"/>
          <w:highlight w:val="black"/>
        </w:rPr>
        <w:t>☐</w:t>
      </w:r>
    </w:p>
    <w:p>
      <w:pPr>
        <w:spacing w:after="0" w:line="171" w:lineRule="exact"/>
        <w:rPr>
          <w:sz w:val="24"/>
          <w:szCs w:val="24"/>
          <w:color w:val="auto"/>
        </w:rPr>
      </w:pPr>
    </w:p>
    <w:p>
      <w:pPr>
        <w:ind w:right="300"/>
        <w:spacing w:after="0" w:line="239" w:lineRule="exact"/>
        <w:rPr>
          <w:sz w:val="20"/>
          <w:szCs w:val="20"/>
          <w:color w:val="auto"/>
        </w:rPr>
      </w:pPr>
      <w:r>
        <w:rPr>
          <w:rFonts w:ascii="Times New Roman" w:cs="Times New Roman" w:eastAsia="Times New Roman" w:hAnsi="Times New Roman"/>
          <w:sz w:val="18"/>
          <w:szCs w:val="18"/>
          <w:color w:val="auto"/>
        </w:rPr>
        <w:t xml:space="preserve">If securities are registered pursuant to Section 12(b) of the Act, indicate by check mark whether the financial statements of the registrant included in the filing reflect the correction of an error to previously issued financial statements. </w:t>
      </w:r>
      <w:r>
        <w:rPr>
          <w:rFonts w:ascii="MS PGothic" w:cs="MS PGothic" w:eastAsia="MS PGothic" w:hAnsi="MS PGothic"/>
          <w:sz w:val="18"/>
          <w:szCs w:val="18"/>
          <w:color w:val="auto"/>
          <w:highlight w:val="black"/>
        </w:rPr>
        <w:t>☐</w:t>
      </w:r>
    </w:p>
    <w:p>
      <w:pPr>
        <w:spacing w:after="0" w:line="170" w:lineRule="exact"/>
        <w:rPr>
          <w:sz w:val="24"/>
          <w:szCs w:val="24"/>
          <w:color w:val="auto"/>
        </w:rPr>
      </w:pPr>
    </w:p>
    <w:p>
      <w:pPr>
        <w:ind w:right="100"/>
        <w:spacing w:after="0" w:line="282" w:lineRule="auto"/>
        <w:rPr>
          <w:sz w:val="20"/>
          <w:szCs w:val="20"/>
          <w:color w:val="auto"/>
        </w:rPr>
      </w:pPr>
      <w:r>
        <w:rPr>
          <w:rFonts w:ascii="Times New Roman" w:cs="Times New Roman" w:eastAsia="Times New Roman" w:hAnsi="Times New Roman"/>
          <w:sz w:val="18"/>
          <w:szCs w:val="18"/>
          <w:color w:val="auto"/>
        </w:rPr>
        <w:t>Indicate by check mark whether any of those error corrections are restatements that required a recovery analysis of incentive-based compensation received by any of the registrant’s executive officers during the relevant recovery period pursuant to § 240.10D-1(b). □</w:t>
      </w:r>
    </w:p>
    <w:p>
      <w:pPr>
        <w:spacing w:after="0" w:line="121" w:lineRule="exact"/>
        <w:rPr>
          <w:sz w:val="24"/>
          <w:szCs w:val="24"/>
          <w:color w:val="auto"/>
        </w:rPr>
      </w:pPr>
    </w:p>
    <w:p>
      <w:pPr>
        <w:spacing w:after="0" w:line="207" w:lineRule="exact"/>
        <w:tabs>
          <w:tab w:leader="none" w:pos="7580" w:val="left"/>
          <w:tab w:leader="none" w:pos="8280" w:val="left"/>
        </w:tabs>
        <w:rPr>
          <w:sz w:val="20"/>
          <w:szCs w:val="20"/>
          <w:color w:val="auto"/>
        </w:rPr>
      </w:pPr>
      <w:r>
        <w:rPr>
          <w:rFonts w:ascii="Times New Roman" w:cs="Times New Roman" w:eastAsia="Times New Roman" w:hAnsi="Times New Roman"/>
          <w:sz w:val="18"/>
          <w:szCs w:val="18"/>
          <w:color w:val="auto"/>
        </w:rPr>
        <w:t>Indicate by check mark whether the registrant is a shell company (as defined in Rule 12b-2 of the Act).</w:t>
        <w:tab/>
        <w:t xml:space="preserve">Yes </w:t>
      </w:r>
      <w:r>
        <w:rPr>
          <w:rFonts w:ascii="MS PGothic" w:cs="MS PGothic" w:eastAsia="MS PGothic" w:hAnsi="MS PGothic"/>
          <w:sz w:val="18"/>
          <w:szCs w:val="18"/>
          <w:color w:val="auto"/>
          <w:highlight w:val="black"/>
        </w:rPr>
        <w:t>☐</w:t>
      </w:r>
      <w:r>
        <w:rPr>
          <w:rFonts w:ascii="Times New Roman" w:cs="Times New Roman" w:eastAsia="Times New Roman" w:hAnsi="Times New Roman"/>
          <w:sz w:val="18"/>
          <w:szCs w:val="18"/>
          <w:color w:val="auto"/>
        </w:rPr>
        <w:tab/>
        <w:t xml:space="preserve">No  </w:t>
      </w:r>
      <w:r>
        <w:rPr>
          <w:rFonts w:ascii="MS PGothic" w:cs="MS PGothic" w:eastAsia="MS PGothic" w:hAnsi="MS PGothic"/>
          <w:sz w:val="18"/>
          <w:szCs w:val="18"/>
          <w:color w:val="auto"/>
          <w:highlight w:val="black"/>
        </w:rPr>
        <w:t>☒</w:t>
      </w:r>
    </w:p>
    <w:p>
      <w:pPr>
        <w:sectPr>
          <w:pgSz w:w="11900" w:h="16838" w:orient="portrait"/>
          <w:cols w:equalWidth="0" w:num="1">
            <w:col w:w="11240"/>
          </w:cols>
          <w:pgMar w:left="320" w:top="229" w:right="339" w:bottom="96" w:gutter="0" w:footer="0" w:header="0"/>
          <w:type w:val="continuous"/>
        </w:sectPr>
      </w:pPr>
    </w:p>
    <w:bookmarkStart w:id="1" w:name="page2"/>
    <w:bookmarkEnd w:id="1"/>
    <w:p>
      <w:pPr>
        <w:spacing w:after="0" w:line="281" w:lineRule="auto"/>
        <w:rPr>
          <w:sz w:val="20"/>
          <w:szCs w:val="20"/>
          <w:color w:val="auto"/>
        </w:rPr>
      </w:pPr>
      <w:r>
        <w:rPr>
          <w:rFonts w:ascii="Times New Roman" w:cs="Times New Roman" w:eastAsia="Times New Roman" w:hAnsi="Times New Roman"/>
          <w:sz w:val="17"/>
          <w:szCs w:val="17"/>
          <w:color w:val="auto"/>
        </w:rPr>
        <w:t>The aggregate market value of the registrant’s voting equity held by non-affiliates of the registrant, computed by reference to the price at which the common stock was last sold as of the last business day of the registrant’s most recently completed second fiscal quarter, was $8.78 million. In determining the market value of the voting equity held by non-affiliates, securities of the registrant beneficially owned by directors, officers and 10% or greater shareholders of the registrant have been excluded. This determination of affiliate status is not necessarily a conclusive determination for other purposes.</w:t>
      </w:r>
    </w:p>
    <w:p>
      <w:pPr>
        <w:spacing w:after="0" w:line="16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number of shares of the registrant’s common stock outstanding as of March 31, 2025 was 2,944,381.</w:t>
      </w:r>
    </w:p>
    <w:p>
      <w:pPr>
        <w:spacing w:after="0" w:line="225" w:lineRule="exact"/>
        <w:rPr>
          <w:sz w:val="20"/>
          <w:szCs w:val="20"/>
          <w:color w:val="auto"/>
        </w:rPr>
      </w:pPr>
    </w:p>
    <w:p>
      <w:pPr>
        <w:jc w:val="center"/>
        <w:ind w:right="-119"/>
        <w:spacing w:after="0"/>
        <w:rPr>
          <w:sz w:val="20"/>
          <w:szCs w:val="20"/>
          <w:color w:val="auto"/>
        </w:rPr>
      </w:pPr>
      <w:r>
        <w:rPr>
          <w:rFonts w:ascii="Times New Roman" w:cs="Times New Roman" w:eastAsia="Times New Roman" w:hAnsi="Times New Roman"/>
          <w:sz w:val="18"/>
          <w:szCs w:val="18"/>
          <w:color w:val="auto"/>
        </w:rPr>
        <w:t>DOCUMENTS INCORPORATED BY REFERENCE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497205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20"/>
          </w:cols>
          <w:pgMar w:left="320" w:top="121" w:right="45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CNS Pharmaceuticals, Inc. is filing this Amendment No. 1 on Form 10-K/A, or this Amendment No. 1 to our Annual Report on Form 10-K for the fiscal year ended December 31, 2024, or the Original 10-K, originally filed with the U.S. Securities and Exchange Commission, or SEC, on March 31, 2025, or Original Filing Date, solely for the purpose of including the information required by Items 10 through 14 of Part III of Form 10-K. This information was previously omitted from the Original 10-K in reliance on General Instruction G(3) to Form 10-K, which permits the information in the above referenced items to be incorporated in the Original 10-K by reference from our definitive proxy statement so long as such proxy statement is filed no later than 120 days after our fiscal year-end. We are filing this Amendment No. 1 to include the Part III information in the Original Form 10-K because we will not file a definitive proxy statement containing such information within 120 days after the end of the fiscal year covered by the Original 10-K.</w:t>
      </w:r>
    </w:p>
    <w:p>
      <w:pPr>
        <w:spacing w:after="0" w:line="18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This Amendment No. 1 amends and restates in their entirety Items 10 through 14 of the Original 10-K. Pursuant to Rule 12b-15 under the Securities Exchange Act of 1934, as amended, or the Exchange Act, this Amendment No. 1 also contains new certifications by the principal executive officer and the principal financial officer as required by Section 302 of the Sarbanes-Oxley Act of 2002. Accordingly, Item 15 of Part IV is amended to include the currently dated certifications of our principal executive officer and principal financial officer as exhibits. Because no financial statements have been included in this Amendment No. 1 and this Amendment No. 1 does not contain or amend any disclosure with respect to Items 307 and 308 of Regulation S-K, paragraphs 3, 4 and 5 of the certifications have been omitted. In addition, because no financial statements are included in this Amendment No. 1, new certifications of our principal executive officer and principal financial officer pursuant to Section 906 of the Sarbanes-Oxley Act of 2002 are not required to be included with Amendment No. 1.</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Except as described above, no other changes have been made to the Original 10-K. The Original 10-K continues to speak as of the date of the Original 10-K, and we have not updated the disclosures contained therein to reflect any events that have occurred as of a date subsequent to the date of the Original 10-K. Accordingly, this Amendment No. 1 should be read in conjunction with the Original 10-K. Defined terms used, but not defined, herein have the meanings ascribed to them in the Original 10-K.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tbl>
      <w:tblPr>
        <w:tblLayout w:type="fixed"/>
        <w:tblInd w:w="0" w:type="dxa"/>
        <w:tblCellMar>
          <w:top w:w="0" w:type="dxa"/>
          <w:left w:w="0" w:type="dxa"/>
          <w:bottom w:w="0" w:type="dxa"/>
          <w:right w:w="0" w:type="dxa"/>
        </w:tblCellMar>
      </w:tblPr>
      <w:tr>
        <w:trPr>
          <w:trHeight w:val="238"/>
        </w:trPr>
        <w:tc>
          <w:tcPr>
            <w:tcW w:w="7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80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5600" w:type="dxa"/>
            <w:vAlign w:val="bottom"/>
            <w:gridSpan w:val="4"/>
          </w:tcPr>
          <w:p>
            <w:pPr>
              <w:ind w:left="46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1400" w:type="dxa"/>
            <w:vAlign w:val="bottom"/>
          </w:tcPr>
          <w:p>
            <w:pPr>
              <w:spacing w:after="0"/>
              <w:rPr>
                <w:sz w:val="20"/>
                <w:szCs w:val="20"/>
                <w:color w:val="auto"/>
              </w:rPr>
            </w:pPr>
          </w:p>
        </w:tc>
      </w:tr>
      <w:tr>
        <w:trPr>
          <w:trHeight w:val="391"/>
        </w:trPr>
        <w:tc>
          <w:tcPr>
            <w:tcW w:w="760" w:type="dxa"/>
            <w:vAlign w:val="bottom"/>
            <w:tcBorders>
              <w:bottom w:val="single" w:sz="8" w:color="0000EE"/>
            </w:tcBorders>
            <w:gridSpan w:val="2"/>
          </w:tcPr>
          <w:p>
            <w:pPr>
              <w:spacing w:after="0"/>
              <w:rPr>
                <w:sz w:val="20"/>
                <w:szCs w:val="20"/>
                <w:color w:val="auto"/>
              </w:rPr>
            </w:pPr>
            <w:r>
              <w:rPr>
                <w:rFonts w:ascii="Times New Roman" w:cs="Times New Roman" w:eastAsia="Times New Roman" w:hAnsi="Times New Roman"/>
                <w:sz w:val="18"/>
                <w:szCs w:val="18"/>
                <w:b w:val="1"/>
                <w:bCs w:val="1"/>
                <w:color w:val="0000EE"/>
                <w:w w:val="96"/>
              </w:rPr>
              <w:t>PART III</w:t>
            </w:r>
          </w:p>
        </w:tc>
        <w:tc>
          <w:tcPr>
            <w:tcW w:w="540" w:type="dxa"/>
            <w:vAlign w:val="bottom"/>
            <w:gridSpan w:val="2"/>
          </w:tcPr>
          <w:p>
            <w:pPr>
              <w:spacing w:after="0"/>
              <w:rPr>
                <w:sz w:val="24"/>
                <w:szCs w:val="24"/>
                <w:color w:val="auto"/>
              </w:rPr>
            </w:pPr>
          </w:p>
        </w:tc>
        <w:tc>
          <w:tcPr>
            <w:tcW w:w="18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400" w:type="dxa"/>
            <w:vAlign w:val="bottom"/>
          </w:tcPr>
          <w:p>
            <w:pPr>
              <w:spacing w:after="0"/>
              <w:rPr>
                <w:sz w:val="24"/>
                <w:szCs w:val="24"/>
                <w:color w:val="auto"/>
              </w:rPr>
            </w:pPr>
          </w:p>
        </w:tc>
      </w:tr>
      <w:tr>
        <w:trPr>
          <w:trHeight w:val="412"/>
        </w:trPr>
        <w:tc>
          <w:tcPr>
            <w:tcW w:w="1300" w:type="dxa"/>
            <w:vAlign w:val="bottom"/>
            <w:gridSpan w:val="4"/>
          </w:tcPr>
          <w:p>
            <w:pPr>
              <w:spacing w:after="0"/>
              <w:rPr>
                <w:sz w:val="20"/>
                <w:szCs w:val="20"/>
                <w:color w:val="auto"/>
              </w:rPr>
            </w:pPr>
            <w:r>
              <w:rPr>
                <w:rFonts w:ascii="Times New Roman" w:cs="Times New Roman" w:eastAsia="Times New Roman" w:hAnsi="Times New Roman"/>
                <w:sz w:val="18"/>
                <w:szCs w:val="18"/>
                <w:color w:val="auto"/>
              </w:rPr>
              <w:t>ITEM 10</w:t>
            </w:r>
          </w:p>
        </w:tc>
        <w:tc>
          <w:tcPr>
            <w:tcW w:w="4100" w:type="dxa"/>
            <w:vAlign w:val="bottom"/>
            <w:tcBorders>
              <w:bottom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0000EE"/>
                <w:w w:val="99"/>
              </w:rPr>
              <w:t>Directors, Executive Officers and Corporate Governance</w:t>
            </w:r>
          </w:p>
        </w:tc>
        <w:tc>
          <w:tcPr>
            <w:tcW w:w="4400" w:type="dxa"/>
            <w:vAlign w:val="bottom"/>
            <w:gridSpan w:val="3"/>
          </w:tcPr>
          <w:p>
            <w:pPr>
              <w:spacing w:after="0"/>
              <w:rPr>
                <w:sz w:val="24"/>
                <w:szCs w:val="24"/>
                <w:color w:val="auto"/>
              </w:rPr>
            </w:pPr>
          </w:p>
        </w:tc>
        <w:tc>
          <w:tcPr>
            <w:tcW w:w="1400" w:type="dxa"/>
            <w:vAlign w:val="bottom"/>
          </w:tcPr>
          <w:p>
            <w:pPr>
              <w:jc w:val="center"/>
              <w:ind w:left="1130"/>
              <w:spacing w:after="0"/>
              <w:rPr>
                <w:sz w:val="20"/>
                <w:szCs w:val="20"/>
                <w:color w:val="auto"/>
              </w:rPr>
            </w:pPr>
            <w:r>
              <w:rPr>
                <w:rFonts w:ascii="Times New Roman" w:cs="Times New Roman" w:eastAsia="Times New Roman" w:hAnsi="Times New Roman"/>
                <w:sz w:val="18"/>
                <w:szCs w:val="18"/>
                <w:color w:val="auto"/>
              </w:rPr>
              <w:t>3</w:t>
            </w:r>
          </w:p>
        </w:tc>
      </w:tr>
      <w:tr>
        <w:trPr>
          <w:trHeight w:val="196"/>
        </w:trPr>
        <w:tc>
          <w:tcPr>
            <w:tcW w:w="1300" w:type="dxa"/>
            <w:vAlign w:val="bottom"/>
            <w:gridSpan w:val="4"/>
          </w:tcPr>
          <w:p>
            <w:pPr>
              <w:spacing w:after="0" w:line="196" w:lineRule="exact"/>
              <w:rPr>
                <w:sz w:val="20"/>
                <w:szCs w:val="20"/>
                <w:color w:val="auto"/>
              </w:rPr>
            </w:pPr>
            <w:r>
              <w:rPr>
                <w:rFonts w:ascii="Times New Roman" w:cs="Times New Roman" w:eastAsia="Times New Roman" w:hAnsi="Times New Roman"/>
                <w:sz w:val="18"/>
                <w:szCs w:val="18"/>
                <w:color w:val="auto"/>
              </w:rPr>
              <w:t>ITEM 11</w:t>
            </w:r>
          </w:p>
        </w:tc>
        <w:tc>
          <w:tcPr>
            <w:tcW w:w="8500" w:type="dxa"/>
            <w:vAlign w:val="bottom"/>
            <w:gridSpan w:val="7"/>
          </w:tcPr>
          <w:p>
            <w:pPr>
              <w:spacing w:after="0" w:line="196" w:lineRule="exact"/>
              <w:rPr>
                <w:sz w:val="20"/>
                <w:szCs w:val="20"/>
                <w:color w:val="auto"/>
              </w:rPr>
            </w:pPr>
            <w:r>
              <w:rPr>
                <w:rFonts w:ascii="Times New Roman" w:cs="Times New Roman" w:eastAsia="Times New Roman" w:hAnsi="Times New Roman"/>
                <w:sz w:val="18"/>
                <w:szCs w:val="18"/>
                <w:color w:val="0000EE"/>
              </w:rPr>
              <w:t>Executive Compensation</w:t>
            </w:r>
          </w:p>
        </w:tc>
        <w:tc>
          <w:tcPr>
            <w:tcW w:w="1400" w:type="dxa"/>
            <w:vAlign w:val="bottom"/>
          </w:tcPr>
          <w:p>
            <w:pPr>
              <w:jc w:val="center"/>
              <w:ind w:left="1130"/>
              <w:spacing w:after="0" w:line="196" w:lineRule="exact"/>
              <w:rPr>
                <w:sz w:val="20"/>
                <w:szCs w:val="20"/>
                <w:color w:val="auto"/>
              </w:rPr>
            </w:pPr>
            <w:r>
              <w:rPr>
                <w:rFonts w:ascii="Times New Roman" w:cs="Times New Roman" w:eastAsia="Times New Roman" w:hAnsi="Times New Roman"/>
                <w:sz w:val="18"/>
                <w:szCs w:val="18"/>
                <w:color w:val="auto"/>
              </w:rPr>
              <w:t>8</w:t>
            </w:r>
          </w:p>
        </w:tc>
      </w:tr>
      <w:tr>
        <w:trPr>
          <w:trHeight w:val="20"/>
        </w:trPr>
        <w:tc>
          <w:tcPr>
            <w:tcW w:w="7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800" w:type="dxa"/>
            <w:vAlign w:val="bottom"/>
            <w:shd w:val="clear" w:color="auto" w:fill="0000EE"/>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560" w:type="dxa"/>
            <w:vAlign w:val="bottom"/>
            <w:gridSpan w:val="2"/>
          </w:tcPr>
          <w:p>
            <w:pPr>
              <w:spacing w:after="0" w:line="20" w:lineRule="exact"/>
              <w:rPr>
                <w:sz w:val="1"/>
                <w:szCs w:val="1"/>
                <w:color w:val="auto"/>
              </w:rPr>
            </w:pPr>
          </w:p>
        </w:tc>
        <w:tc>
          <w:tcPr>
            <w:tcW w:w="184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r>
      <w:tr>
        <w:trPr>
          <w:trHeight w:val="196"/>
        </w:trPr>
        <w:tc>
          <w:tcPr>
            <w:tcW w:w="1300" w:type="dxa"/>
            <w:vAlign w:val="bottom"/>
            <w:gridSpan w:val="4"/>
          </w:tcPr>
          <w:p>
            <w:pPr>
              <w:spacing w:after="0" w:line="196" w:lineRule="exact"/>
              <w:rPr>
                <w:sz w:val="20"/>
                <w:szCs w:val="20"/>
                <w:color w:val="auto"/>
              </w:rPr>
            </w:pPr>
            <w:r>
              <w:rPr>
                <w:rFonts w:ascii="Times New Roman" w:cs="Times New Roman" w:eastAsia="Times New Roman" w:hAnsi="Times New Roman"/>
                <w:sz w:val="18"/>
                <w:szCs w:val="18"/>
                <w:color w:val="auto"/>
              </w:rPr>
              <w:t>ITEM 12</w:t>
            </w:r>
          </w:p>
        </w:tc>
        <w:tc>
          <w:tcPr>
            <w:tcW w:w="7300" w:type="dxa"/>
            <w:vAlign w:val="bottom"/>
            <w:tcBorders>
              <w:bottom w:val="single" w:sz="8" w:color="0000EE"/>
            </w:tcBorders>
            <w:gridSpan w:val="6"/>
          </w:tcPr>
          <w:p>
            <w:pPr>
              <w:spacing w:after="0" w:line="196" w:lineRule="exact"/>
              <w:rPr>
                <w:sz w:val="20"/>
                <w:szCs w:val="20"/>
                <w:color w:val="auto"/>
              </w:rPr>
            </w:pPr>
            <w:r>
              <w:rPr>
                <w:rFonts w:ascii="Times New Roman" w:cs="Times New Roman" w:eastAsia="Times New Roman" w:hAnsi="Times New Roman"/>
                <w:sz w:val="18"/>
                <w:szCs w:val="18"/>
                <w:color w:val="0000EE"/>
                <w:w w:val="99"/>
              </w:rPr>
              <w:t>Security Ownership of Certain Beneficial Owners and Management and Related Stockholder Matters</w:t>
            </w:r>
          </w:p>
        </w:tc>
        <w:tc>
          <w:tcPr>
            <w:tcW w:w="1200" w:type="dxa"/>
            <w:vAlign w:val="bottom"/>
          </w:tcPr>
          <w:p>
            <w:pPr>
              <w:spacing w:after="0"/>
              <w:rPr>
                <w:sz w:val="17"/>
                <w:szCs w:val="17"/>
                <w:color w:val="auto"/>
              </w:rPr>
            </w:pPr>
          </w:p>
        </w:tc>
        <w:tc>
          <w:tcPr>
            <w:tcW w:w="1400" w:type="dxa"/>
            <w:vAlign w:val="bottom"/>
          </w:tcPr>
          <w:p>
            <w:pPr>
              <w:jc w:val="center"/>
              <w:ind w:left="1130"/>
              <w:spacing w:after="0" w:line="196" w:lineRule="exact"/>
              <w:rPr>
                <w:sz w:val="20"/>
                <w:szCs w:val="20"/>
                <w:color w:val="auto"/>
              </w:rPr>
            </w:pPr>
            <w:r>
              <w:rPr>
                <w:rFonts w:ascii="Times New Roman" w:cs="Times New Roman" w:eastAsia="Times New Roman" w:hAnsi="Times New Roman"/>
                <w:sz w:val="18"/>
                <w:szCs w:val="18"/>
                <w:color w:val="auto"/>
                <w:w w:val="99"/>
              </w:rPr>
              <w:t>13</w:t>
            </w:r>
          </w:p>
        </w:tc>
      </w:tr>
      <w:tr>
        <w:trPr>
          <w:trHeight w:val="196"/>
        </w:trPr>
        <w:tc>
          <w:tcPr>
            <w:tcW w:w="1300" w:type="dxa"/>
            <w:vAlign w:val="bottom"/>
            <w:gridSpan w:val="4"/>
          </w:tcPr>
          <w:p>
            <w:pPr>
              <w:spacing w:after="0" w:line="196" w:lineRule="exact"/>
              <w:rPr>
                <w:sz w:val="20"/>
                <w:szCs w:val="20"/>
                <w:color w:val="auto"/>
              </w:rPr>
            </w:pPr>
            <w:r>
              <w:rPr>
                <w:rFonts w:ascii="Times New Roman" w:cs="Times New Roman" w:eastAsia="Times New Roman" w:hAnsi="Times New Roman"/>
                <w:sz w:val="18"/>
                <w:szCs w:val="18"/>
                <w:color w:val="auto"/>
              </w:rPr>
              <w:t>ITEM 13</w:t>
            </w:r>
          </w:p>
        </w:tc>
        <w:tc>
          <w:tcPr>
            <w:tcW w:w="5460" w:type="dxa"/>
            <w:vAlign w:val="bottom"/>
            <w:tcBorders>
              <w:bottom w:val="single" w:sz="8" w:color="0000EE"/>
            </w:tcBorders>
            <w:gridSpan w:val="5"/>
          </w:tcPr>
          <w:p>
            <w:pPr>
              <w:spacing w:after="0" w:line="196" w:lineRule="exact"/>
              <w:rPr>
                <w:sz w:val="20"/>
                <w:szCs w:val="20"/>
                <w:color w:val="auto"/>
              </w:rPr>
            </w:pPr>
            <w:r>
              <w:rPr>
                <w:rFonts w:ascii="Times New Roman" w:cs="Times New Roman" w:eastAsia="Times New Roman" w:hAnsi="Times New Roman"/>
                <w:sz w:val="18"/>
                <w:szCs w:val="18"/>
                <w:color w:val="0000EE"/>
                <w:w w:val="99"/>
              </w:rPr>
              <w:t>Certain Relationships and Related Transactions, and Director Independence</w:t>
            </w:r>
          </w:p>
        </w:tc>
        <w:tc>
          <w:tcPr>
            <w:tcW w:w="3040" w:type="dxa"/>
            <w:vAlign w:val="bottom"/>
            <w:gridSpan w:val="2"/>
          </w:tcPr>
          <w:p>
            <w:pPr>
              <w:spacing w:after="0"/>
              <w:rPr>
                <w:sz w:val="17"/>
                <w:szCs w:val="17"/>
                <w:color w:val="auto"/>
              </w:rPr>
            </w:pPr>
          </w:p>
        </w:tc>
        <w:tc>
          <w:tcPr>
            <w:tcW w:w="1400" w:type="dxa"/>
            <w:vAlign w:val="bottom"/>
          </w:tcPr>
          <w:p>
            <w:pPr>
              <w:jc w:val="center"/>
              <w:ind w:left="1130"/>
              <w:spacing w:after="0" w:line="196" w:lineRule="exact"/>
              <w:rPr>
                <w:sz w:val="20"/>
                <w:szCs w:val="20"/>
                <w:color w:val="auto"/>
              </w:rPr>
            </w:pPr>
            <w:r>
              <w:rPr>
                <w:rFonts w:ascii="Times New Roman" w:cs="Times New Roman" w:eastAsia="Times New Roman" w:hAnsi="Times New Roman"/>
                <w:sz w:val="18"/>
                <w:szCs w:val="18"/>
                <w:color w:val="auto"/>
                <w:w w:val="99"/>
              </w:rPr>
              <w:t>15</w:t>
            </w:r>
          </w:p>
        </w:tc>
      </w:tr>
      <w:tr>
        <w:trPr>
          <w:trHeight w:val="196"/>
        </w:trPr>
        <w:tc>
          <w:tcPr>
            <w:tcW w:w="1300" w:type="dxa"/>
            <w:vAlign w:val="bottom"/>
            <w:gridSpan w:val="4"/>
          </w:tcPr>
          <w:p>
            <w:pPr>
              <w:spacing w:after="0" w:line="196" w:lineRule="exact"/>
              <w:rPr>
                <w:sz w:val="20"/>
                <w:szCs w:val="20"/>
                <w:color w:val="auto"/>
              </w:rPr>
            </w:pPr>
            <w:r>
              <w:rPr>
                <w:rFonts w:ascii="Times New Roman" w:cs="Times New Roman" w:eastAsia="Times New Roman" w:hAnsi="Times New Roman"/>
                <w:sz w:val="18"/>
                <w:szCs w:val="18"/>
                <w:color w:val="auto"/>
              </w:rPr>
              <w:t>ITEM 14</w:t>
            </w:r>
          </w:p>
        </w:tc>
        <w:tc>
          <w:tcPr>
            <w:tcW w:w="8500" w:type="dxa"/>
            <w:vAlign w:val="bottom"/>
            <w:gridSpan w:val="7"/>
          </w:tcPr>
          <w:p>
            <w:pPr>
              <w:spacing w:after="0" w:line="196" w:lineRule="exact"/>
              <w:rPr>
                <w:sz w:val="20"/>
                <w:szCs w:val="20"/>
                <w:color w:val="auto"/>
              </w:rPr>
            </w:pPr>
            <w:r>
              <w:rPr>
                <w:rFonts w:ascii="Times New Roman" w:cs="Times New Roman" w:eastAsia="Times New Roman" w:hAnsi="Times New Roman"/>
                <w:sz w:val="18"/>
                <w:szCs w:val="18"/>
                <w:color w:val="0000EE"/>
              </w:rPr>
              <w:t>Principal Accountant Fees and Services</w:t>
            </w:r>
          </w:p>
        </w:tc>
        <w:tc>
          <w:tcPr>
            <w:tcW w:w="1400" w:type="dxa"/>
            <w:vAlign w:val="bottom"/>
          </w:tcPr>
          <w:p>
            <w:pPr>
              <w:jc w:val="center"/>
              <w:ind w:left="1130"/>
              <w:spacing w:after="0" w:line="196" w:lineRule="exact"/>
              <w:rPr>
                <w:sz w:val="20"/>
                <w:szCs w:val="20"/>
                <w:color w:val="auto"/>
              </w:rPr>
            </w:pPr>
            <w:r>
              <w:rPr>
                <w:rFonts w:ascii="Times New Roman" w:cs="Times New Roman" w:eastAsia="Times New Roman" w:hAnsi="Times New Roman"/>
                <w:sz w:val="18"/>
                <w:szCs w:val="18"/>
                <w:color w:val="auto"/>
                <w:w w:val="99"/>
              </w:rPr>
              <w:t>15</w:t>
            </w:r>
          </w:p>
        </w:tc>
      </w:tr>
      <w:tr>
        <w:trPr>
          <w:trHeight w:val="412"/>
        </w:trPr>
        <w:tc>
          <w:tcPr>
            <w:tcW w:w="1300" w:type="dxa"/>
            <w:vAlign w:val="bottom"/>
            <w:gridSpan w:val="4"/>
          </w:tcPr>
          <w:p>
            <w:pPr>
              <w:spacing w:after="0"/>
              <w:rPr>
                <w:sz w:val="20"/>
                <w:szCs w:val="20"/>
                <w:color w:val="auto"/>
              </w:rPr>
            </w:pPr>
            <w:r>
              <w:rPr>
                <w:rFonts w:ascii="Times New Roman" w:cs="Times New Roman" w:eastAsia="Times New Roman" w:hAnsi="Times New Roman"/>
                <w:sz w:val="18"/>
                <w:szCs w:val="18"/>
                <w:b w:val="1"/>
                <w:bCs w:val="1"/>
                <w:color w:val="0000EE"/>
              </w:rPr>
              <w:t>PART IV</w:t>
            </w:r>
          </w:p>
        </w:tc>
        <w:tc>
          <w:tcPr>
            <w:tcW w:w="1800" w:type="dxa"/>
            <w:vAlign w:val="bottom"/>
            <w:tcBorders>
              <w:top w:val="single" w:sz="8" w:color="0000EE"/>
            </w:tcBorders>
          </w:tcPr>
          <w:p>
            <w:pPr>
              <w:spacing w:after="0"/>
              <w:rPr>
                <w:sz w:val="24"/>
                <w:szCs w:val="24"/>
                <w:color w:val="auto"/>
              </w:rPr>
            </w:pPr>
          </w:p>
        </w:tc>
        <w:tc>
          <w:tcPr>
            <w:tcW w:w="1060" w:type="dxa"/>
            <w:vAlign w:val="bottom"/>
            <w:tcBorders>
              <w:top w:val="single" w:sz="8" w:color="0000EE"/>
            </w:tcBorders>
          </w:tcPr>
          <w:p>
            <w:pPr>
              <w:spacing w:after="0"/>
              <w:rPr>
                <w:sz w:val="24"/>
                <w:szCs w:val="24"/>
                <w:color w:val="auto"/>
              </w:rPr>
            </w:pPr>
          </w:p>
        </w:tc>
        <w:tc>
          <w:tcPr>
            <w:tcW w:w="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400" w:type="dxa"/>
            <w:vAlign w:val="bottom"/>
          </w:tcPr>
          <w:p>
            <w:pPr>
              <w:spacing w:after="0"/>
              <w:rPr>
                <w:sz w:val="24"/>
                <w:szCs w:val="24"/>
                <w:color w:val="auto"/>
              </w:rPr>
            </w:pPr>
          </w:p>
        </w:tc>
      </w:tr>
      <w:tr>
        <w:trPr>
          <w:trHeight w:val="412"/>
        </w:trPr>
        <w:tc>
          <w:tcPr>
            <w:tcW w:w="7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ITEM 15</w:t>
            </w:r>
          </w:p>
        </w:tc>
        <w:tc>
          <w:tcPr>
            <w:tcW w:w="580" w:type="dxa"/>
            <w:vAlign w:val="bottom"/>
            <w:gridSpan w:val="3"/>
          </w:tcPr>
          <w:p>
            <w:pPr>
              <w:spacing w:after="0"/>
              <w:rPr>
                <w:sz w:val="24"/>
                <w:szCs w:val="24"/>
                <w:color w:val="auto"/>
              </w:rPr>
            </w:pPr>
          </w:p>
        </w:tc>
        <w:tc>
          <w:tcPr>
            <w:tcW w:w="8500" w:type="dxa"/>
            <w:vAlign w:val="bottom"/>
            <w:gridSpan w:val="7"/>
          </w:tcPr>
          <w:p>
            <w:pPr>
              <w:spacing w:after="0"/>
              <w:rPr>
                <w:sz w:val="20"/>
                <w:szCs w:val="20"/>
                <w:color w:val="auto"/>
              </w:rPr>
            </w:pPr>
            <w:r>
              <w:rPr>
                <w:rFonts w:ascii="Times New Roman" w:cs="Times New Roman" w:eastAsia="Times New Roman" w:hAnsi="Times New Roman"/>
                <w:sz w:val="18"/>
                <w:szCs w:val="18"/>
                <w:color w:val="0000EE"/>
              </w:rPr>
              <w:t>Exhibits, Financial Statement Schedules</w:t>
            </w:r>
          </w:p>
        </w:tc>
        <w:tc>
          <w:tcPr>
            <w:tcW w:w="1400" w:type="dxa"/>
            <w:vAlign w:val="bottom"/>
          </w:tcPr>
          <w:p>
            <w:pPr>
              <w:jc w:val="center"/>
              <w:ind w:left="1130"/>
              <w:spacing w:after="0"/>
              <w:rPr>
                <w:sz w:val="20"/>
                <w:szCs w:val="20"/>
                <w:color w:val="auto"/>
              </w:rPr>
            </w:pPr>
            <w:r>
              <w:rPr>
                <w:rFonts w:ascii="Times New Roman" w:cs="Times New Roman" w:eastAsia="Times New Roman" w:hAnsi="Times New Roman"/>
                <w:sz w:val="18"/>
                <w:szCs w:val="18"/>
                <w:color w:val="auto"/>
                <w:w w:val="99"/>
              </w:rPr>
              <w:t>17</w:t>
            </w:r>
          </w:p>
        </w:tc>
      </w:tr>
      <w:tr>
        <w:trPr>
          <w:trHeight w:val="412"/>
        </w:trPr>
        <w:tc>
          <w:tcPr>
            <w:tcW w:w="1000" w:type="dxa"/>
            <w:vAlign w:val="bottom"/>
            <w:tcBorders>
              <w:bottom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0000EE"/>
                <w:w w:val="99"/>
              </w:rPr>
              <w:t>Exhibit Index</w:t>
            </w:r>
          </w:p>
        </w:tc>
        <w:tc>
          <w:tcPr>
            <w:tcW w:w="300" w:type="dxa"/>
            <w:vAlign w:val="bottom"/>
          </w:tcPr>
          <w:p>
            <w:pPr>
              <w:spacing w:after="0"/>
              <w:rPr>
                <w:sz w:val="24"/>
                <w:szCs w:val="24"/>
                <w:color w:val="auto"/>
              </w:rPr>
            </w:pPr>
          </w:p>
        </w:tc>
        <w:tc>
          <w:tcPr>
            <w:tcW w:w="1800" w:type="dxa"/>
            <w:vAlign w:val="bottom"/>
            <w:tcBorders>
              <w:top w:val="single" w:sz="8" w:color="0000EE"/>
            </w:tcBorders>
          </w:tcPr>
          <w:p>
            <w:pPr>
              <w:spacing w:after="0"/>
              <w:rPr>
                <w:sz w:val="24"/>
                <w:szCs w:val="24"/>
                <w:color w:val="auto"/>
              </w:rPr>
            </w:pPr>
          </w:p>
        </w:tc>
        <w:tc>
          <w:tcPr>
            <w:tcW w:w="1060" w:type="dxa"/>
            <w:vAlign w:val="bottom"/>
            <w:tcBorders>
              <w:top w:val="single" w:sz="8" w:color="0000EE"/>
            </w:tcBorders>
          </w:tcPr>
          <w:p>
            <w:pPr>
              <w:spacing w:after="0"/>
              <w:rPr>
                <w:sz w:val="24"/>
                <w:szCs w:val="24"/>
                <w:color w:val="auto"/>
              </w:rPr>
            </w:pPr>
          </w:p>
        </w:tc>
        <w:tc>
          <w:tcPr>
            <w:tcW w:w="40" w:type="dxa"/>
            <w:vAlign w:val="bottom"/>
            <w:tcBorders>
              <w:top w:val="single" w:sz="8" w:color="0000EE"/>
            </w:tcBorders>
          </w:tcPr>
          <w:p>
            <w:pPr>
              <w:spacing w:after="0"/>
              <w:rPr>
                <w:sz w:val="24"/>
                <w:szCs w:val="24"/>
                <w:color w:val="auto"/>
              </w:rPr>
            </w:pPr>
          </w:p>
        </w:tc>
        <w:tc>
          <w:tcPr>
            <w:tcW w:w="12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400" w:type="dxa"/>
            <w:vAlign w:val="bottom"/>
          </w:tcPr>
          <w:p>
            <w:pPr>
              <w:spacing w:after="0"/>
              <w:rPr>
                <w:sz w:val="24"/>
                <w:szCs w:val="24"/>
                <w:color w:val="auto"/>
              </w:rPr>
            </w:pPr>
          </w:p>
        </w:tc>
      </w:tr>
      <w:tr>
        <w:trPr>
          <w:trHeight w:val="412"/>
        </w:trPr>
        <w:tc>
          <w:tcPr>
            <w:tcW w:w="1300" w:type="dxa"/>
            <w:vAlign w:val="bottom"/>
            <w:gridSpan w:val="4"/>
          </w:tcPr>
          <w:p>
            <w:pPr>
              <w:spacing w:after="0"/>
              <w:rPr>
                <w:sz w:val="20"/>
                <w:szCs w:val="20"/>
                <w:color w:val="auto"/>
              </w:rPr>
            </w:pPr>
            <w:r>
              <w:rPr>
                <w:rFonts w:ascii="Times New Roman" w:cs="Times New Roman" w:eastAsia="Times New Roman" w:hAnsi="Times New Roman"/>
                <w:sz w:val="18"/>
                <w:szCs w:val="18"/>
                <w:color w:val="0000EE"/>
              </w:rPr>
              <w:t>Signatures</w:t>
            </w:r>
          </w:p>
        </w:tc>
        <w:tc>
          <w:tcPr>
            <w:tcW w:w="180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1840" w:type="dxa"/>
            <w:vAlign w:val="bottom"/>
          </w:tcPr>
          <w:p>
            <w:pPr>
              <w:spacing w:after="0"/>
              <w:rPr>
                <w:sz w:val="24"/>
                <w:szCs w:val="24"/>
                <w:color w:val="auto"/>
              </w:rPr>
            </w:pPr>
          </w:p>
        </w:tc>
        <w:tc>
          <w:tcPr>
            <w:tcW w:w="1200" w:type="dxa"/>
            <w:vAlign w:val="bottom"/>
          </w:tcPr>
          <w:p>
            <w:pPr>
              <w:spacing w:after="0"/>
              <w:rPr>
                <w:sz w:val="24"/>
                <w:szCs w:val="24"/>
                <w:color w:val="auto"/>
              </w:rPr>
            </w:pPr>
          </w:p>
        </w:tc>
        <w:tc>
          <w:tcPr>
            <w:tcW w:w="1400" w:type="dxa"/>
            <w:vAlign w:val="bottom"/>
          </w:tcPr>
          <w:p>
            <w:pPr>
              <w:jc w:val="center"/>
              <w:ind w:left="1130"/>
              <w:spacing w:after="0"/>
              <w:rPr>
                <w:sz w:val="20"/>
                <w:szCs w:val="20"/>
                <w:color w:val="auto"/>
              </w:rPr>
            </w:pPr>
            <w:r>
              <w:rPr>
                <w:rFonts w:ascii="Times New Roman" w:cs="Times New Roman" w:eastAsia="Times New Roman" w:hAnsi="Times New Roman"/>
                <w:sz w:val="18"/>
                <w:szCs w:val="18"/>
                <w:color w:val="auto"/>
                <w:w w:val="99"/>
              </w:rPr>
              <w:t>21</w:t>
            </w:r>
          </w:p>
        </w:tc>
      </w:tr>
      <w:tr>
        <w:trPr>
          <w:trHeight w:val="20"/>
        </w:trPr>
        <w:tc>
          <w:tcPr>
            <w:tcW w:w="720" w:type="dxa"/>
            <w:vAlign w:val="bottom"/>
            <w:shd w:val="clear" w:color="auto" w:fill="0000EE"/>
          </w:tcPr>
          <w:p>
            <w:pPr>
              <w:spacing w:after="0" w:line="20" w:lineRule="exact"/>
              <w:rPr>
                <w:sz w:val="1"/>
                <w:szCs w:val="1"/>
                <w:color w:val="auto"/>
              </w:rPr>
            </w:pPr>
          </w:p>
        </w:tc>
        <w:tc>
          <w:tcPr>
            <w:tcW w:w="40" w:type="dxa"/>
            <w:vAlign w:val="bottom"/>
            <w:tcBorders>
              <w:right w:val="single" w:sz="8" w:color="0000EE"/>
            </w:tcBorders>
            <w:shd w:val="clear" w:color="auto" w:fill="0000EE"/>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80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1840" w:type="dxa"/>
            <w:vAlign w:val="bottom"/>
          </w:tcPr>
          <w:p>
            <w:pPr>
              <w:spacing w:after="0" w:line="20" w:lineRule="exact"/>
              <w:rPr>
                <w:sz w:val="1"/>
                <w:szCs w:val="1"/>
                <w:color w:val="auto"/>
              </w:rPr>
            </w:pPr>
          </w:p>
        </w:tc>
        <w:tc>
          <w:tcPr>
            <w:tcW w:w="1200" w:type="dxa"/>
            <w:vAlign w:val="bottom"/>
          </w:tcPr>
          <w:p>
            <w:pPr>
              <w:spacing w:after="0" w:line="20" w:lineRule="exact"/>
              <w:rPr>
                <w:sz w:val="1"/>
                <w:szCs w:val="1"/>
                <w:color w:val="auto"/>
              </w:rPr>
            </w:pPr>
          </w:p>
        </w:tc>
        <w:tc>
          <w:tcPr>
            <w:tcW w:w="14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2" w:right="379" w:bottom="1440" w:gutter="0" w:footer="0" w:header="0"/>
        </w:sectPr>
      </w:pPr>
    </w:p>
    <w:bookmarkStart w:id="4" w:name="page5"/>
    <w:bookmarkEnd w:id="4"/>
    <w:p>
      <w:pPr>
        <w:ind w:left="5260"/>
        <w:spacing w:after="0"/>
        <w:rPr>
          <w:sz w:val="20"/>
          <w:szCs w:val="20"/>
          <w:color w:val="auto"/>
        </w:rPr>
      </w:pPr>
      <w:r>
        <w:rPr>
          <w:rFonts w:ascii="Times New Roman" w:cs="Times New Roman" w:eastAsia="Times New Roman" w:hAnsi="Times New Roman"/>
          <w:sz w:val="18"/>
          <w:szCs w:val="18"/>
          <w:b w:val="1"/>
          <w:bCs w:val="1"/>
          <w:color w:val="auto"/>
        </w:rPr>
        <w:t>PART III</w:t>
      </w:r>
    </w:p>
    <w:p>
      <w:pPr>
        <w:spacing w:after="0" w:line="225"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10.</w:t>
      </w:r>
      <w:r>
        <w:rPr>
          <w:sz w:val="20"/>
          <w:szCs w:val="20"/>
          <w:color w:val="auto"/>
        </w:rPr>
        <w:tab/>
      </w:r>
      <w:r>
        <w:rPr>
          <w:rFonts w:ascii="Times New Roman" w:cs="Times New Roman" w:eastAsia="Times New Roman" w:hAnsi="Times New Roman"/>
          <w:sz w:val="18"/>
          <w:szCs w:val="18"/>
          <w:b w:val="1"/>
          <w:bCs w:val="1"/>
          <w:color w:val="auto"/>
        </w:rPr>
        <w:t>Directors, Executive Officers and Corporate Governance</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names and ages of all of our directors and executive officers as of January 1, 2025. Our officers are appointed by, and serve at the pleasure of, the Board of Directors.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550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Position</w:t>
            </w:r>
          </w:p>
        </w:tc>
      </w:tr>
      <w:tr>
        <w:trPr>
          <w:trHeight w:val="209"/>
        </w:trPr>
        <w:tc>
          <w:tcPr>
            <w:tcW w:w="45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M. Climaco</w:t>
            </w:r>
          </w:p>
        </w:tc>
        <w:tc>
          <w:tcPr>
            <w:tcW w:w="120" w:type="dxa"/>
            <w:vAlign w:val="bottom"/>
            <w:tcBorders>
              <w:top w:val="single" w:sz="8" w:color="EEEEEE"/>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120" w:type="dxa"/>
            <w:vAlign w:val="bottom"/>
            <w:tcBorders>
              <w:top w:val="single" w:sz="8" w:color="EEEEEE"/>
            </w:tcBorders>
            <w:shd w:val="clear" w:color="auto" w:fill="EEEEEE"/>
          </w:tcPr>
          <w:p>
            <w:pPr>
              <w:spacing w:after="0"/>
              <w:rPr>
                <w:sz w:val="18"/>
                <w:szCs w:val="18"/>
                <w:color w:val="auto"/>
              </w:rPr>
            </w:pPr>
          </w:p>
        </w:tc>
        <w:tc>
          <w:tcPr>
            <w:tcW w:w="53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46</w:t>
            </w:r>
          </w:p>
        </w:tc>
        <w:tc>
          <w:tcPr>
            <w:tcW w:w="55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L. Silberman</w:t>
            </w:r>
          </w:p>
        </w:tc>
        <w:tc>
          <w:tcPr>
            <w:tcW w:w="11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69</w:t>
            </w:r>
          </w:p>
        </w:tc>
        <w:tc>
          <w:tcPr>
            <w:tcW w:w="55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Chief Medical Officer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Donald Picker</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79</w:t>
            </w:r>
          </w:p>
        </w:tc>
        <w:tc>
          <w:tcPr>
            <w:tcW w:w="55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Chief Science Officer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Faith L. Charles</w:t>
            </w:r>
          </w:p>
        </w:tc>
        <w:tc>
          <w:tcPr>
            <w:tcW w:w="11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63</w:t>
            </w:r>
          </w:p>
        </w:tc>
        <w:tc>
          <w:tcPr>
            <w:tcW w:w="55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75</w:t>
            </w:r>
          </w:p>
        </w:tc>
        <w:tc>
          <w:tcPr>
            <w:tcW w:w="55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11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55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1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57</w:t>
            </w:r>
          </w:p>
        </w:tc>
        <w:tc>
          <w:tcPr>
            <w:tcW w:w="55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Director</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Amy Mahery</w:t>
            </w:r>
          </w:p>
        </w:tc>
        <w:tc>
          <w:tcPr>
            <w:tcW w:w="11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48</w:t>
            </w:r>
          </w:p>
        </w:tc>
        <w:tc>
          <w:tcPr>
            <w:tcW w:w="55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Director</w:t>
            </w:r>
          </w:p>
        </w:tc>
      </w:tr>
    </w:tbl>
    <w:p>
      <w:pPr>
        <w:spacing w:after="0" w:line="19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Set forth below is biographical information about each of the individuals named in the tables above:</w:t>
      </w:r>
    </w:p>
    <w:p>
      <w:pPr>
        <w:spacing w:after="0" w:line="221"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John M. Climaco, Esq. – Chief Executive Officer and Director</w:t>
      </w:r>
      <w:r>
        <w:rPr>
          <w:rFonts w:ascii="Times New Roman" w:cs="Times New Roman" w:eastAsia="Times New Roman" w:hAnsi="Times New Roman"/>
          <w:sz w:val="18"/>
          <w:szCs w:val="18"/>
          <w:color w:val="auto"/>
        </w:rPr>
        <w:t>. Mr. Climaco joined CNS in September 2017 as its Chief Executive Officer. Mr.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Climaco has served in leadership roles in a variety of healthcare companies. From April 2015 to June 2017 Mr. Climaco served as the Executive Vice-President of Perma-Fix Medical S.A where he managed the development of a novel method to produce Technitium-99. Mr. Climaco also served as President and CEO of Axial Biotech, Inc., a DNA diagnostics company, from January 2003 to January 2013. In the process of taking Axial from inception to product development to commercialization, Mr. Climaco created strategic partnerships with Medtronic, Johnson &amp; Johnson and Smith &amp; Nephew. Mr. Climaco currently serves as a director of several public companies including Moleculin Biotech, Inc., a pharmaceutical company focused on anticancer drug candidates, where he has served since May 2017. Mr. Climaco served on the boards of Digirad, Inc., a leading national provider of imaging services, from May 2012 until April 2020, and Birner Dental Management Services, Inc., a provider of practice management services in the dental industry, since June 2017. Mr. Climaco also served as a director of PDI, Inc., a provider of outsourced commercial services to pharma companies, in 2015, and InfuSystem Holdings, Inc., the largest supplier of infusion services to oncologists in the U.S., from April 2012 to April 2014. Mr. Climaco obtained his Juris Doctorate Degree from the University of California Hastings College of Law in San Francisco, CA in January 2000 and a Bachelor of Philosophy from Middlebury College in Middlebury, VT, in May 1991. Mr. Climaco is active with the State Bar of Utah. We believe Mr. Climaco’s history with our company, coupled with his vast experience with development stage companies and his legal background provides him with the qualifications to serve as a director.</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Christopher S. Downs, CPA – Chief Financial Officer. </w:t>
      </w:r>
      <w:r>
        <w:rPr>
          <w:rFonts w:ascii="Times New Roman" w:cs="Times New Roman" w:eastAsia="Times New Roman" w:hAnsi="Times New Roman"/>
          <w:sz w:val="18"/>
          <w:szCs w:val="18"/>
          <w:color w:val="auto"/>
        </w:rPr>
        <w:t>Mr. Downs has served as our chief financial officer since the closing of our IPO in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November 2019. From March 2018 until September 2019, Mr. Downs served as vice president of finance and treasurer of Innovative Aftermarket Systems, L.P., a privately held provider of finance and insurance solutions. Mr. Downs served as director of finance (from June 2011 to September 2013), vice president and treasurer (October 2013 to August 2016), executive vice president and interim chief financial officer (August 2016 to May 2017), and executive vice president, interim chief financial officer and member of the office of the president (May 2017 to March 2018) for InfuSystem Holdings, Inc., a supplier of infusion services to oncologists in the United States. Mr. Downs spent 10 years in investment banking with various firms including Citigroup. Mr. Downs served as a director of EBET, Inc., a technology company developing and operating platforms focused on esports and competitive gaming, from March 2021 to July 2024. Mr. Downs is a graduate of the United States Military Academy at West Point where he earned his Bachelor of Science. Mr. Downs earned his MBA at Columbia Business School and his Master of Science in Accounting at the University of Houston-Clear Lake. Mr. Downs is a Certified Public Accountant in Utah and Texas.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Sandra L. Silberman, MD PhD – Chief Medical Officer</w:t>
      </w:r>
      <w:r>
        <w:rPr>
          <w:rFonts w:ascii="Times New Roman" w:cs="Times New Roman" w:eastAsia="Times New Roman" w:hAnsi="Times New Roman"/>
          <w:sz w:val="18"/>
          <w:szCs w:val="18"/>
          <w:color w:val="auto"/>
        </w:rPr>
        <w:t>. Dr. Silberman joined CNS in December 2017. Dr. Silberman served as chief medical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for new products of Moleculin Biotech, Inc. from November 2017 to December 2024 on a part-time basis. Dr. Silberman advanced several original, proprietary compounds into Phases I through III during her work with leading biopharmaceutical companies, including BristolMyers Squibb, AstraZeneca, Imclone and Roche. Dr. Silberman is a Hematologist/Oncologist who earned her B.A., Sc.M. and Ph.D. from the Johns Hopkins University School of Arts and Sciences, School of Public Health and School of Medicine, respectively, and her M.D. from Cornell University Medical College, and then completed both a clinical fellowship in Hematology/Oncology as well as a research fellowship in tumor immunology at the Brigham &amp; Women’ s Hospital and the Dana Farber Cancer Institute in Boston, MA. Dr. Silberman is currently devoting only 45% of her work time to us and provides services as needed to us.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Donald Picker, PhD - Chief Science Officer</w:t>
      </w:r>
      <w:r>
        <w:rPr>
          <w:rFonts w:ascii="Times New Roman" w:cs="Times New Roman" w:eastAsia="Times New Roman" w:hAnsi="Times New Roman"/>
          <w:sz w:val="18"/>
          <w:szCs w:val="18"/>
          <w:color w:val="auto"/>
        </w:rPr>
        <w:t>. Dr. Picker has served as our part-time chief science officer since June 2019. Dr. Picker has served as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the chief scientific officer of Moleculin Biotech, Inc. since August 2017 after serving as its chief operating officer from July 2015 until August 2017 and as its president from January 2016 to August 2017. In 2007, Dr. Picker became the chief executive officer of IntertechBio Corp. From 2006 through 2007, Dr. Picker was the President of Tapestry Pharmaceuticals. From 1998 to 2003, Dr. Picker was CEO of Synergy Pharmaceuticals. Synergy was merged into Callisto Pharmaceuticals where he was vice present of research and development until 2006. From 2017 to 2018, Dr. Picker served on our board of directors. Dr. Picker received his B.S. degree from Brooklyn Polytechnic University and his PhD from SUNY Albany in 1975. Dr. Picker is currently devoting only 25% of his work time to us and provides services as needed to us.</w:t>
      </w:r>
    </w:p>
    <w:p>
      <w:pPr>
        <w:spacing w:after="0" w:line="183"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Faith L. Charles, JD – Director and Chair of the Board of Directors</w:t>
      </w:r>
      <w:r>
        <w:rPr>
          <w:rFonts w:ascii="Times New Roman" w:cs="Times New Roman" w:eastAsia="Times New Roman" w:hAnsi="Times New Roman"/>
          <w:sz w:val="18"/>
          <w:szCs w:val="18"/>
          <w:color w:val="auto"/>
        </w:rPr>
        <w:t>. Ms. Charles joined our board of directors on December 30, 2022 and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currently serves as chair of the board of directors. Ms. Charles has been a corporate transactions and securities partner at the law firm of Thompson Hine, LLP, since 2010. She leads Thompson Hine’s Life Sciences practice and co-heads the securities practice, advising public and emerging biotech and pharmaceutical companies in the U.S. and internationally. Ms. Charles negotiates complex private and public financing transactions, mergers and acquisitions, licensing transactions and strategic collaborations. She serves as outside counsel to a myriad of life sciences companies and is known in the industry as an astute business advisor, providing valuable insights into capital markets, corporate governance and strategic development. From 2018 until October 2021, Ms. Charles served on the board of directors and as a member of the audit committee and chair of the compensation committee of Entera Bio, a publicly traded biotechnology company. She also serves on the Board of Directors of several private life science companies. Ms. Charles founded the Women in Bio Metro New York chapter and chaired the chapter for five years. She currently serves on the national board of Women in Bio. Ms. Charles is also a member of the board of Red Door Community (formerly Gilda’s Club New York City.) She has been recognized as a Life Sciences Star by Euromoney’s LMG Life Sciences, has been named a BTI Client Service All-Star, and was named by Crain’s New York Business to the list of 2020 Notable Women in the Law. Ms. Charles holds a JD degree from The George Washington University Law School and a B.A. in Psychology from Barnard College, Columbia University. Ms. Charles is a graduate of Women in Bio’s Boardroom Ready Program, an Executive Education Program taught by The George Washington University School of Business. Ms. Charles’ qualifications to serve on our Board include her leadership skills and her vast legal experience representing companies in the biotech and pharmaceutical field.</w:t>
      </w:r>
    </w:p>
    <w:p>
      <w:pPr>
        <w:spacing w:after="0" w:line="183"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Jerzy (George) Gumulka, PhD – Director</w:t>
      </w:r>
      <w:r>
        <w:rPr>
          <w:rFonts w:ascii="Times New Roman" w:cs="Times New Roman" w:eastAsia="Times New Roman" w:hAnsi="Times New Roman"/>
          <w:sz w:val="18"/>
          <w:szCs w:val="18"/>
          <w:color w:val="auto"/>
        </w:rPr>
        <w:t>. Dr. Gumulka joined our board of directors on November 8, 2017. Dr. Gumulka has been retired since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2016. From 2001 until his retirement, he served as a Global Technology Manager ASC, a Technology Manager, Special Projects/New Technology Platforms, Kraton Polymers US LLC, and a Technical Director of Kraton Polymers do Brasil. Prior to his employment at Shell Chemical Company and Kraton Polymers US LLC, Dr. Gumulka worked at BioSpectrum, Inc. (aka IML) and was involved in the development and application of Human Immune Interferon (INF-γ) and Interleukin-2 in the HIV-focused clinical studies and animal models. Dr. Gumulka co-authored patents on the production and purification of INF- γ and Interleukin-2, and in the field of analytical chemistry, environmental and polymer science. Dr. Gumulka is the recipient of the 2011 Presidential Green Chemistry Challenge Award. Dr. Gumulka served on the Board of Directors of Moleculin LLC from 2010 through 2016. Dr. Gumulka received a Ph.D. from the University of Warsaw, Warsaw, Poland. We believe Dr. Gumulka’s technical knowledge and experience in the field of biochemistry coupled with his vast experience in corporate leadership provide him with the qualifications to serve as a director.</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Jeffry R. Keyes – Director</w:t>
      </w:r>
      <w:r>
        <w:rPr>
          <w:rFonts w:ascii="Times New Roman" w:cs="Times New Roman" w:eastAsia="Times New Roman" w:hAnsi="Times New Roman"/>
          <w:sz w:val="18"/>
          <w:szCs w:val="18"/>
          <w:color w:val="auto"/>
        </w:rPr>
        <w:t>. Mr. Keyes joined our board on June 25, 2018. Mr. Keyes is currently the Chief Financial Officer of Quantum-SI,</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Incorporated (Nasdaq: QSI), a publicly-held proteomics company, a role that he has held since May 2023. From August 2022 to May 2023, Mr. Keyes was the Chief Financial Officer of Spinal Elements, Inc., a private equity backed medical device company. From April 2018 to August 2022, Mr. Keyes was the Chief Financial Officer of Custopharm, Inc., a private equity backed developer of generic sterile injectable pharmaceuticals. From September 2012 to April 2018, Mr. Keyes was the Chief Financial Officer and Corporate Secretary of Digirad Corporation, a publicly traded healthcare services and medical device company. From August 2011 until September 2012, Mr. Keyes was Corporate Controller of Sapphire Energy, Inc., a venture capital backed start-up renewable energy company. From April 2011 to August 2011, Mr. Keyes was the Corporate Controller of Advanced BioHealing, Inc., a venture backed provider of regenerative medicine solutions, until its sale to Shire, PLC in August 2011. Prior to April 2011 Mr. Keyes held a variety of leadership roles in healthcare and medical device companies in finance, accounting, and M&amp;A support, and he started his career in public accounting. Mr. Keyes earned a B.A. degree in accounting from Western Washington University and is a certified public accountant licensed by the Washington State Board of Accountancy. Mr. Keyes is considered a financial expert under relevant rules of the SEC, the NYSE and Nasdaq. We believe Mr. Keyes’ financial knowledge and experience, which qualify him as an Audit Committee Financial Expert, coupled with his vast experience in corporate leadership provides him with the qualifications to serve as a director.</w:t>
      </w:r>
    </w:p>
    <w:p>
      <w:pPr>
        <w:spacing w:after="0" w:line="187"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Bettina M. Cockroft, MD – Director. </w:t>
      </w:r>
      <w:r>
        <w:rPr>
          <w:rFonts w:ascii="Times New Roman" w:cs="Times New Roman" w:eastAsia="Times New Roman" w:hAnsi="Times New Roman"/>
          <w:sz w:val="18"/>
          <w:szCs w:val="18"/>
          <w:color w:val="auto"/>
        </w:rPr>
        <w:t>Dr. Cockroft joined our board on May 3, 2023. From September 2019 to May 2023, Dr. Cockroft was Senior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Vice President and Chief Medical Officer of Sangamo Therapeutics, Inc., a publicly-held biotechnology company, where she oversaw clinical development activities and operations. She has over 20 years of experience in the biopharmaceutical industry and has worked across multiple therapeutic areas and led programs in several countries. Prior to joining Sangamo, Dr. Cockroft served on the senior leadership team at Cytokinetics, Inc., a publicly-held biopharmaceutical company, where she was responsible for clinical development of fast skeletal muscle troponin activators in diseases such as Amyotrophic Lateral Sclerosis and Spinal Muscular Atrophy. She served as Vice President, Clinical Research, Neurology, at Cytokinetics from August 2017 to September 2019. From October 2016 to July 2017, Dr. Cockroft served as a pharmaceutical executive consultant, and before that, from September 2013 to September 2016, she served as Chief Medical Officer of Auris Medical AG, a biopharmaceutical company, where she led and grew the clinical development team responsible for two Phase 3 programs. Dr. Cockroft also held roles of increasing responsibility at Merck Serono S.A., Novartis Consumer Health and Menarini Ricerche earlier in her career. Dr. Cockroft has served as a member of the board of directors of Annexon, Inc. since January 2022. Dr. Cockroft received a M.B.A. from MIT Sloan School of Management and a M.D. from the University of Genova. We believe Dr. Cockroft’s extensive experience in the biotechnology field provides her with the qualifications to serve as a director.</w:t>
      </w:r>
    </w:p>
    <w:p>
      <w:pPr>
        <w:spacing w:after="0" w:line="190"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Amy Mahery – Director</w:t>
      </w:r>
      <w:r>
        <w:rPr>
          <w:rFonts w:ascii="Times New Roman" w:cs="Times New Roman" w:eastAsia="Times New Roman" w:hAnsi="Times New Roman"/>
          <w:sz w:val="18"/>
          <w:szCs w:val="18"/>
          <w:color w:val="auto"/>
        </w:rPr>
        <w:t>. Ms. Mahery joined our board on February 1, 2024. Since February 2025, Ms. Mahery has served as Chief Marketing</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Officer of Moderna, Inc. From August 2022 until February 2025, Ms. Mahery served as Chief Commercial Officer of Roivant Sciences. From 2021 until July 2022, Ms. Mahery served as Senior Vice President, Global Franchise Head – Neurology &amp; Immunology for EMD Serono, Inc. and from 2019 until 2021 Ms. Mahery served as Senior Vice President, Head – Global Market Access and Pricing for EMD Serono, Inc. Ms. Mahery holds a B.S. degree from Trinity College-Hartford. We believe Ms. Mahery’s extensive experience in the biopharmaceuticals industry provides her with the qualifications to serve as a director.</w:t>
      </w:r>
    </w:p>
    <w:p>
      <w:pPr>
        <w:spacing w:after="0" w:line="18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 director is related to any other director or executive officer of our company or our subsidiaries, and there are no arrangements or understandings between a director and any other person pursuant to which such person was elected as director.</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ind w:right="20" w:firstLine="648"/>
        <w:spacing w:after="0" w:line="261" w:lineRule="auto"/>
        <w:rPr>
          <w:sz w:val="20"/>
          <w:szCs w:val="20"/>
          <w:color w:val="auto"/>
        </w:rPr>
      </w:pPr>
      <w:r>
        <w:rPr>
          <w:rFonts w:ascii="Times New Roman" w:cs="Times New Roman" w:eastAsia="Times New Roman" w:hAnsi="Times New Roman"/>
          <w:sz w:val="18"/>
          <w:szCs w:val="18"/>
          <w:color w:val="auto"/>
        </w:rPr>
        <w:t>Our Board of Directors has adopted a written Code of Business Conduct and Ethics applicable to all officers, directors and employees, which is available on our website (www.cnspharma.com) under “Governance Documents” within the “Corporate Governance” section. We intend to satisfy the disclosure requirement under Item 5.05 of Form 8-K regarding amendment to, or waiver from, a provision of this Code and by posting such information on the website address and location specified above.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Nomination of Director Candidates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receive suggestions for potential director nominees from many sources, including members of the Board, advisors, and stockholders. Any such nominations, together with appropriate biographical information, should be submitted to the Chairperson of the Nominating and Corporate Governance Committee in the manner discussed below. Any candidates submitted by a stockholder or stockholder group are reviewed and considered in the same manner as all other candidates.</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Qualifications for consideration as a Board nominee may vary according to the particular areas of expertise being sought as a complement to the existing board composition. However, minimum qualifications include high level leadership experience in business activities, breadth of knowledge about issues affecting the Company, experience on other boards of directors, preferably public company boards, and time available for meetings and consultation on Company matters. Our Nominating and Corporate Governance Committee does not have a formal policy with regard to the consideration of diversity in identifying director candidates, but seeks a diverse group of candidates who possess the background, skills and expertise to make a significant contribution to the Board, to the Company and our stockholders. Candidates whose evaluations are favorable are recommended by our Nominating and Corporate Governance Committee to the full Board for consideration. The full Board selects and recommends candidates for nomination as directors for stockholders to consider and vote upon at the annual meeting.</w:t>
      </w:r>
    </w:p>
    <w:p>
      <w:pPr>
        <w:spacing w:after="0" w:line="19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A stockholder wishing to nominate a candidate for election to our Board of Directors at any annual meeting at which the Board of Directors has determined that one or more directors will be elected must submit a written notice of his or her nomination of a candidate to the Chairperson of the Nominating and Corporate Governance Committee (c/o the Corporate Secretary), providing the candidates name, biographical data and other relevant information together with a consent from the nominee. Pursuant to our Bylaws, the submission must be received at our principal executive offices 120 days prior to the anniversary date of the mailing date of our previous year’s proxy statement so as to permit the Board of Directors time to evaluate the qualifications of the nominee.</w:t>
      </w:r>
    </w:p>
    <w:p>
      <w:pPr>
        <w:spacing w:after="0" w:line="18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employed an executive search firm to locate additional qualified candidates for director positions.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Committees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established a Nominating and Corporate Governance Committee, an Audit Committee and a Compensation Committee. Our Board of Directors has adopted and approved a charter for each of these standing committees. The charters, which include the functions and responsibilities of each of the committees, can be found in the “Investors - Corporate Governance” section on our web site at www.cnspharma.com.</w:t>
      </w:r>
    </w:p>
    <w:p>
      <w:pPr>
        <w:spacing w:after="0" w:line="174"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i w:val="1"/>
          <w:iCs w:val="1"/>
          <w:color w:val="auto"/>
        </w:rPr>
        <w:t>Audit Committee</w:t>
      </w:r>
      <w:r>
        <w:rPr>
          <w:rFonts w:ascii="Times New Roman" w:cs="Times New Roman" w:eastAsia="Times New Roman" w:hAnsi="Times New Roman"/>
          <w:sz w:val="18"/>
          <w:szCs w:val="18"/>
          <w:color w:val="auto"/>
        </w:rPr>
        <w:t>. The members of the Audit Committee are Mr. Keyes (Chair), Ms. Charles and Ms. Mahery. Each member of the Audit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Committee is independent as defined by the Nasdaq Rules. In addition, each member of the Audit Committee satisfies the additional requirements of the SEC and Nasdaq Rules for audit committee membership, including the additional independence requirements and the financial literacy requirements. The Board has determined that at least one member of the Audit Committee, Mr. Keyes, is an “audit committee financial expert” as defined in the SEC’s rules and regulations. The primary purpose of the Audit Committee is to oversee the quality and integrity of our accounting and financial reporting processes and the audit of our financial statements. The Audit Committee is responsible for selecting, compensating, overseeing and terminating the selection of our independent registered public accounting firm.</w:t>
      </w:r>
    </w:p>
    <w:p>
      <w:pPr>
        <w:spacing w:after="0" w:line="183"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 xml:space="preserve">Nominating and Corporate Governance Committee. </w:t>
      </w:r>
      <w:r>
        <w:rPr>
          <w:rFonts w:ascii="Times New Roman" w:cs="Times New Roman" w:eastAsia="Times New Roman" w:hAnsi="Times New Roman"/>
          <w:sz w:val="18"/>
          <w:szCs w:val="18"/>
          <w:color w:val="auto"/>
        </w:rPr>
        <w:t>The members of the Nominating and Corporate Governance Committee are Dr. Cockroft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(Chair) and Ms. Charles. Each member of the Nominating and Corporate Governance Committee is independent as defined by Nasdaq Rules. The primary functions and responsibilities of the Nominating and Corporate Governance Committee are to: (a) determine the qualifications, qualities, skills, and other expertise required to be a director; (b) identify and screen individuals qualified to become members of the Board; (c) make recommendations to the Board regarding the selection and approval of the nominees for director; and (d) review and assess the adequacy of our corporate governance policies and procedures.</w: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ind w:right="20"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Compensation Committee</w:t>
      </w:r>
      <w:r>
        <w:rPr>
          <w:rFonts w:ascii="Times New Roman" w:cs="Times New Roman" w:eastAsia="Times New Roman" w:hAnsi="Times New Roman"/>
          <w:sz w:val="18"/>
          <w:szCs w:val="18"/>
          <w:color w:val="auto"/>
        </w:rPr>
        <w:t>. The members of the Compensation Committee are Ms. Mahery (Chair), Dr. Gumulka and Dr. Cockroft. Each member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of the Compensation Committee is independent as defined by Nasdaq Rules.</w:t>
      </w:r>
    </w:p>
    <w:p>
      <w:pPr>
        <w:spacing w:after="0" w:line="16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Compensation Committee is responsible for, among other things, reviewing and making recommendations to the Board of Directors with respect to the annual compensation for our Chief Executive Officer. The Compensation Committee also is responsible for reviewing and making recommendations to the Board of Directors the annual compensation and benefits for our other executive officers. The Compensation Committee also, among other things, reviews compensation of the Board, reviews and makes recommendations on all new executive compensation programs that are proposed for adoption and administers the Company’s equity incentive plans. The Compensation Committee is responsible for reviewing director compensation for service on the Board and Board committees at least once a year and to recommend any changes to the Board.</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Chief Executive Officer reviews the performance of our other executive officers (other than himself) and, based on that review, our Chief Executive Officer makes recommendations to the Compensation Committee about the compensation of executive officers (other than himself). Our Chief Executive Officer does not participate in any deliberations or approvals by the Board or the Compensation Committee with respect to his own compensation.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Nomination of Director Candidates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receive suggestions for potential director nominees from many sources, including members of the Board, advisors, and stockholders. Any such nominations, together with appropriate biographical information, should be submitted to the Chairperson of the Nominating and Corporate Governance Committee in the manner discussed below. Any candidates submitted by a stockholder or stockholder group are reviewed and considered in the same manner as all other candidates.</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Qualifications for consideration as a Board nominee may vary according to the particular areas of expertise being sought as a complement to the existing board composition. However, minimum qualifications include high level leadership experience in business activities, breadth of knowledge about issues affecting the Company, experience on other boards of directors, preferably public company boards, and time available for meetings and consultation on Company matters. Our Nominating and Corporate Governance Committee does not have a formal policy with regard to the consideration of diversity in identifying director candidates, but seeks a diverse group of candidates who possess the background, skills and expertise to make a significant contribution to the Board, to the Company and our stockholders. Candidates whose evaluations are favorable are recommended by our Nominating and Corporate Governance Committee to the full Board for consideration. The full Board selects and recommends candidates for nomination as directors for stockholders to consider and vote upon at the annual meeting.</w:t>
      </w:r>
    </w:p>
    <w:p>
      <w:pPr>
        <w:spacing w:after="0" w:line="19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A stockholder wishing to nominate a candidate for election to our Board of Directors at any annual meeting at which the Board of Directors has determined that one or more directors will be elected must submit a written notice of his or her nomination of a candidate to the Chairperson of the Nominating and Corporate Governance Committee (c/o the Corporate Secretary), providing the candidates name, biographical data and other relevant information together with a consent from the nominee. Pursuant to our Amended and Restated Bylaws, the submission must be received at our principal executive offices 120 days prior to the anniversary date of the mailing date of our previous year’s proxy statement so as to permit the Board of Directors time to evaluate the qualifications of the nominee.</w:t>
      </w:r>
    </w:p>
    <w:p>
      <w:pPr>
        <w:spacing w:after="0" w:line="187"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In 2022 and 2023, we employed and paid executive search firms to assist us in locating qualified candidates for director positions as the Board sought to expand and diversify its membership. Ms. Charles, Dr. Cockroft and Ms. Mahery were identified through the search firms.</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addition to satisfying the foregoing requirements under our Amended and Restated Bylaws, stockholders who intend to solicit proxies in support of director nominees other than our nominees must comply with the additional requirements of Rule 14a-19(b) under the Exchange Act to comply with the universal proxy rules. The requirements under the universal proxy rules are in addition to the applicable procedural requirements under our Amended and Restated Bylaws described above.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b w:val="1"/>
          <w:bCs w:val="1"/>
          <w:color w:val="auto"/>
        </w:rPr>
        <w:t>Stockholder Communications with Directors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Persons wishing to write to our Board of Directors, or to a specified director or committee of the Board, should send correspondence to the Corporate Secretary at 2100 West Loop South, Suite 900, Houston, TX 77027. Electronic submissions of stockholder correspondence will not be accepted.</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Corporate Secretary will forward to the directors all communications that, in his or her judgment, are appropriate for consideration by the directors. Examples of communications that would not be appropriate for consideration by the directors include commercial solicitations and matters not relevant to the stockholders, to the functioning of the Board or to the affairs of CNS. Any correspondence received that is addressed generically to the Board of Directors will be forwarded to the Chairperson of the Board.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Insider Trading Policy</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Board has adopted an Insider Trading Policy that applies to all of our directors, executive officers, and employees. The policy attempts to establish standards that will avoid even the appearance of improper conduct on the part of insiders by requiring, among other things, that insiders maintain the confidentiality of information about the Company and to not engage in transactions in the Company’s securities while aware of material nonpublic information. Our Insider Trading Policy is available on the “Investors - Governance - Governance Documents” section of our web site at www.cnspharma.com</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Anti-Hedging Policy</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policies prohibit directors, officers and other employees from purchasing financial instruments (including prepaid variable forward contracts, equity swaps, collars, and exchange funds), or otherwise engaging in transactions, that hedge or offset, or are designed to hedge or offset, any decrease in the market value of our equity securities without our prior approval.</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Ethics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have adopted a written code of ethics that applies to our directors, principal executive officer, principal financial officer, principal accounting officer or controller and any persons performing similar functions. The code of ethics is on the “Investors - Governance - Governance Documents” section of our web site at www.cnspharma.com. We intend to disclose any future amendments to, or waivers from, the code of ethics within four business days of the waiver or amendment through a website posting or by filing a Current Report on Form 8-K with the SEC.</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Delinquent Section 16(a) Reports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Section 16(a) of the Exchange Act requires that our executive officers and directors, and persons who own more than 10% of our common stock, file reports of ownership and changes of ownership with the SEC. Such directors, executive officers and 10% stockholders are required by SEC regulation to furnish us with copies of all Section 16(a) forms they file.</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SEC regulations require us to identify in this Form 10-K/A anyone who filed a required report late during the most recent fiscal year. Based solely on our review of copies of such forms that we have received, or written representations from reporting persons, except as set forth below, we believe that during fiscal 2024, all executive officers, directors and greater than 10% stockholders complied with all applicable SEC filing requirements: (i) one Form 4 reporting one transaction filed by each of John Climaco, Christopher Downs, Amy Mahery, Carl Evans, and Jerzy Gumulka on February 6, 2024, which was due on February 5, 2024, and (ii) one Form 4 reporting one transaction filed by Cortice Biosciences, Inc. as a 10% stockholder on August 6, 2024, which was due on August 2, 2024.</w:t>
      </w:r>
    </w:p>
    <w:p>
      <w:pPr>
        <w:spacing w:after="0" w:line="183"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11.</w:t>
      </w:r>
      <w:r>
        <w:rPr>
          <w:sz w:val="20"/>
          <w:szCs w:val="20"/>
          <w:color w:val="auto"/>
        </w:rPr>
        <w:tab/>
      </w:r>
      <w:r>
        <w:rPr>
          <w:rFonts w:ascii="Times New Roman" w:cs="Times New Roman" w:eastAsia="Times New Roman" w:hAnsi="Times New Roman"/>
          <w:sz w:val="17"/>
          <w:szCs w:val="17"/>
          <w:b w:val="1"/>
          <w:bCs w:val="1"/>
          <w:color w:val="auto"/>
        </w:rPr>
        <w:t>Executive Compensation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Executive Officer Compensation</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Our named executive officers for the years ended December 31, 2024 and 2023, which consist of our principal executive officer and our two other most highly compensated executive officers, are: (i) John Climaco, our chairman and chief executive officer; (ii) Chris Downs, our chief financial officer; and (ii) Sandra Silberman, our chief medical officer.</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tbl>
      <w:tblPr>
        <w:tblLayout w:type="fixed"/>
        <w:tblInd w:w="0" w:type="dxa"/>
        <w:tblCellMar>
          <w:top w:w="0" w:type="dxa"/>
          <w:left w:w="0" w:type="dxa"/>
          <w:bottom w:w="0" w:type="dxa"/>
          <w:right w:w="0" w:type="dxa"/>
        </w:tblCellMar>
      </w:tblPr>
      <w:tr>
        <w:trPr>
          <w:trHeight w:val="238"/>
        </w:trPr>
        <w:tc>
          <w:tcPr>
            <w:tcW w:w="38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700" w:type="dxa"/>
            <w:vAlign w:val="bottom"/>
            <w:gridSpan w:val="6"/>
          </w:tcPr>
          <w:p>
            <w:pPr>
              <w:ind w:left="220"/>
              <w:spacing w:after="0"/>
              <w:rPr>
                <w:sz w:val="20"/>
                <w:szCs w:val="20"/>
                <w:color w:val="auto"/>
              </w:rPr>
            </w:pPr>
            <w:r>
              <w:rPr>
                <w:rFonts w:ascii="Times New Roman" w:cs="Times New Roman" w:eastAsia="Times New Roman" w:hAnsi="Times New Roman"/>
                <w:sz w:val="18"/>
                <w:szCs w:val="18"/>
                <w:b w:val="1"/>
                <w:bCs w:val="1"/>
                <w:color w:val="auto"/>
              </w:rPr>
              <w:t>Summary Compensation Table – 2024</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38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Nonequity</w:t>
            </w:r>
          </w:p>
        </w:tc>
        <w:tc>
          <w:tcPr>
            <w:tcW w:w="100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3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200" w:type="dxa"/>
            <w:vAlign w:val="bottom"/>
            <w:gridSpan w:val="2"/>
          </w:tcPr>
          <w:p>
            <w:pPr>
              <w:ind w:left="260"/>
              <w:spacing w:after="0"/>
              <w:rPr>
                <w:sz w:val="20"/>
                <w:szCs w:val="20"/>
                <w:color w:val="auto"/>
              </w:rPr>
            </w:pPr>
            <w:r>
              <w:rPr>
                <w:rFonts w:ascii="Times New Roman" w:cs="Times New Roman" w:eastAsia="Times New Roman" w:hAnsi="Times New Roman"/>
                <w:sz w:val="18"/>
                <w:szCs w:val="18"/>
                <w:b w:val="1"/>
                <w:bCs w:val="1"/>
                <w:color w:val="auto"/>
              </w:rPr>
              <w:t>Stock</w:t>
            </w:r>
          </w:p>
        </w:tc>
        <w:tc>
          <w:tcPr>
            <w:tcW w:w="1220" w:type="dxa"/>
            <w:vAlign w:val="bottom"/>
            <w:gridSpan w:val="2"/>
          </w:tcPr>
          <w:p>
            <w:pPr>
              <w:jc w:val="right"/>
              <w:ind w:right="460"/>
              <w:spacing w:after="0"/>
              <w:rPr>
                <w:sz w:val="20"/>
                <w:szCs w:val="20"/>
                <w:color w:val="auto"/>
              </w:rPr>
            </w:pPr>
            <w:r>
              <w:rPr>
                <w:rFonts w:ascii="Times New Roman" w:cs="Times New Roman" w:eastAsia="Times New Roman" w:hAnsi="Times New Roman"/>
                <w:sz w:val="18"/>
                <w:szCs w:val="18"/>
                <w:b w:val="1"/>
                <w:bCs w:val="1"/>
                <w:color w:val="auto"/>
              </w:rPr>
              <w:t>Option</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incentive</w:t>
            </w: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20" w:type="dxa"/>
            <w:vAlign w:val="bottom"/>
            <w:gridSpan w:val="2"/>
          </w:tcPr>
          <w:p>
            <w:pPr>
              <w:ind w:left="220"/>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20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Awards</w:t>
            </w:r>
          </w:p>
        </w:tc>
        <w:tc>
          <w:tcPr>
            <w:tcW w:w="1220" w:type="dxa"/>
            <w:vAlign w:val="bottom"/>
            <w:gridSpan w:val="2"/>
          </w:tcPr>
          <w:p>
            <w:pPr>
              <w:jc w:val="right"/>
              <w:ind w:right="460"/>
              <w:spacing w:after="0"/>
              <w:rPr>
                <w:sz w:val="20"/>
                <w:szCs w:val="20"/>
                <w:color w:val="auto"/>
              </w:rPr>
            </w:pPr>
            <w:r>
              <w:rPr>
                <w:rFonts w:ascii="Times New Roman" w:cs="Times New Roman" w:eastAsia="Times New Roman" w:hAnsi="Times New Roman"/>
                <w:sz w:val="18"/>
                <w:szCs w:val="18"/>
                <w:b w:val="1"/>
                <w:bCs w:val="1"/>
                <w:color w:val="auto"/>
              </w:rPr>
              <w:t>Award</w:t>
            </w: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plan</w:t>
            </w:r>
          </w:p>
        </w:tc>
        <w:tc>
          <w:tcPr>
            <w:tcW w:w="110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38"/>
        </w:trPr>
        <w:tc>
          <w:tcPr>
            <w:tcW w:w="3820" w:type="dxa"/>
            <w:vAlign w:val="bottom"/>
          </w:tcPr>
          <w:p>
            <w:pPr>
              <w:ind w:left="820"/>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Pr>
          <w:p>
            <w:pPr>
              <w:spacing w:after="0"/>
              <w:rPr>
                <w:sz w:val="20"/>
                <w:szCs w:val="20"/>
                <w:color w:val="auto"/>
              </w:rPr>
            </w:pPr>
          </w:p>
        </w:tc>
        <w:tc>
          <w:tcPr>
            <w:tcW w:w="1280" w:type="dxa"/>
            <w:vAlign w:val="bottom"/>
            <w:gridSpan w:val="2"/>
          </w:tcPr>
          <w:p>
            <w:pPr>
              <w:ind w:left="340"/>
              <w:spacing w:after="0"/>
              <w:rPr>
                <w:sz w:val="20"/>
                <w:szCs w:val="20"/>
                <w:color w:val="auto"/>
              </w:rPr>
            </w:pPr>
            <w:r>
              <w:rPr>
                <w:rFonts w:ascii="Times New Roman" w:cs="Times New Roman" w:eastAsia="Times New Roman" w:hAnsi="Times New Roman"/>
                <w:sz w:val="18"/>
                <w:szCs w:val="18"/>
                <w:b w:val="1"/>
                <w:bCs w:val="1"/>
                <w:color w:val="auto"/>
              </w:rPr>
              <w:t>Year</w:t>
            </w:r>
          </w:p>
        </w:tc>
        <w:tc>
          <w:tcPr>
            <w:tcW w:w="1000" w:type="dxa"/>
            <w:vAlign w:val="bottom"/>
          </w:tcPr>
          <w:p>
            <w:pPr>
              <w:ind w:left="400"/>
              <w:spacing w:after="0"/>
              <w:rPr>
                <w:sz w:val="20"/>
                <w:szCs w:val="20"/>
                <w:color w:val="auto"/>
              </w:rPr>
            </w:pPr>
            <w:r>
              <w:rPr>
                <w:rFonts w:ascii="Times New Roman" w:cs="Times New Roman" w:eastAsia="Times New Roman" w:hAnsi="Times New Roman"/>
                <w:sz w:val="18"/>
                <w:szCs w:val="18"/>
                <w:b w:val="1"/>
                <w:bCs w:val="1"/>
                <w:color w:val="auto"/>
              </w:rPr>
              <w:t>($)</w:t>
            </w:r>
          </w:p>
        </w:tc>
        <w:tc>
          <w:tcPr>
            <w:tcW w:w="220" w:type="dxa"/>
            <w:vAlign w:val="bottom"/>
          </w:tcPr>
          <w:p>
            <w:pPr>
              <w:spacing w:after="0"/>
              <w:rPr>
                <w:sz w:val="20"/>
                <w:szCs w:val="20"/>
                <w:color w:val="auto"/>
              </w:rPr>
            </w:pPr>
          </w:p>
        </w:tc>
        <w:tc>
          <w:tcPr>
            <w:tcW w:w="1000" w:type="dxa"/>
            <w:vAlign w:val="bottom"/>
          </w:tcPr>
          <w:p>
            <w:pPr>
              <w:ind w:left="260"/>
              <w:spacing w:after="0"/>
              <w:rPr>
                <w:sz w:val="20"/>
                <w:szCs w:val="20"/>
                <w:color w:val="auto"/>
              </w:rPr>
            </w:pPr>
            <w:r>
              <w:rPr>
                <w:rFonts w:ascii="Times New Roman" w:cs="Times New Roman" w:eastAsia="Times New Roman" w:hAnsi="Times New Roman"/>
                <w:sz w:val="18"/>
                <w:szCs w:val="18"/>
                <w:b w:val="1"/>
                <w:bCs w:val="1"/>
                <w:color w:val="auto"/>
              </w:rPr>
              <w:t>($) (1)</w:t>
            </w:r>
          </w:p>
        </w:tc>
        <w:tc>
          <w:tcPr>
            <w:tcW w:w="200" w:type="dxa"/>
            <w:vAlign w:val="bottom"/>
          </w:tcPr>
          <w:p>
            <w:pPr>
              <w:spacing w:after="0"/>
              <w:rPr>
                <w:sz w:val="20"/>
                <w:szCs w:val="20"/>
                <w:color w:val="auto"/>
              </w:rPr>
            </w:pPr>
          </w:p>
        </w:tc>
        <w:tc>
          <w:tcPr>
            <w:tcW w:w="1000" w:type="dxa"/>
            <w:vAlign w:val="bottom"/>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rPr>
              <w:t>($) (1)</w:t>
            </w:r>
          </w:p>
        </w:tc>
        <w:tc>
          <w:tcPr>
            <w:tcW w:w="220" w:type="dxa"/>
            <w:vAlign w:val="bottom"/>
          </w:tcPr>
          <w:p>
            <w:pPr>
              <w:spacing w:after="0"/>
              <w:rPr>
                <w:sz w:val="20"/>
                <w:szCs w:val="20"/>
                <w:color w:val="auto"/>
              </w:rPr>
            </w:pPr>
          </w:p>
        </w:tc>
        <w:tc>
          <w:tcPr>
            <w:tcW w:w="12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compensation</w:t>
            </w:r>
          </w:p>
        </w:tc>
        <w:tc>
          <w:tcPr>
            <w:tcW w:w="1000" w:type="dxa"/>
            <w:vAlign w:val="bottom"/>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w:t>
            </w:r>
          </w:p>
        </w:tc>
        <w:tc>
          <w:tcPr>
            <w:tcW w:w="100" w:type="dxa"/>
            <w:vAlign w:val="bottom"/>
          </w:tcPr>
          <w:p>
            <w:pPr>
              <w:spacing w:after="0"/>
              <w:rPr>
                <w:sz w:val="20"/>
                <w:szCs w:val="20"/>
                <w:color w:val="auto"/>
              </w:rPr>
            </w:pPr>
          </w:p>
        </w:tc>
      </w:tr>
      <w:tr>
        <w:trPr>
          <w:trHeight w:val="210"/>
        </w:trPr>
        <w:tc>
          <w:tcPr>
            <w:tcW w:w="382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 Chief Executive Officer</w:t>
            </w:r>
          </w:p>
        </w:tc>
        <w:tc>
          <w:tcPr>
            <w:tcW w:w="120" w:type="dxa"/>
            <w:vAlign w:val="bottom"/>
            <w:tcBorders>
              <w:top w:val="single" w:sz="8" w:color="EEEEEE"/>
            </w:tcBorders>
            <w:shd w:val="clear" w:color="auto" w:fill="EEEEEE"/>
          </w:tcPr>
          <w:p>
            <w:pPr>
              <w:spacing w:after="0"/>
              <w:rPr>
                <w:sz w:val="18"/>
                <w:szCs w:val="18"/>
                <w:color w:val="auto"/>
              </w:rPr>
            </w:pPr>
          </w:p>
        </w:tc>
        <w:tc>
          <w:tcPr>
            <w:tcW w:w="1040" w:type="dxa"/>
            <w:vAlign w:val="bottom"/>
            <w:tcBorders>
              <w:top w:val="single" w:sz="8" w:color="auto"/>
            </w:tcBorders>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2024</w:t>
            </w:r>
          </w:p>
        </w:tc>
        <w:tc>
          <w:tcPr>
            <w:tcW w:w="24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w w:val="95"/>
              </w:rPr>
              <w:t>525,000</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292,817</w:t>
            </w:r>
          </w:p>
        </w:tc>
        <w:tc>
          <w:tcPr>
            <w:tcW w:w="220" w:type="dxa"/>
            <w:vAlign w:val="bottom"/>
            <w:tcBorders>
              <w:top w:val="single" w:sz="8" w:color="EEEEEE"/>
            </w:tcBorders>
            <w:shd w:val="clear" w:color="auto" w:fill="EEEEEE"/>
          </w:tcPr>
          <w:p>
            <w:pPr>
              <w:spacing w:after="0"/>
              <w:rPr>
                <w:sz w:val="18"/>
                <w:szCs w:val="18"/>
                <w:color w:val="auto"/>
              </w:rPr>
            </w:pPr>
          </w:p>
        </w:tc>
        <w:tc>
          <w:tcPr>
            <w:tcW w:w="10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285,863</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1,103,680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38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40" w:type="dxa"/>
            <w:vAlign w:val="bottom"/>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525,000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20,688</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18,022</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60,638</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624,348</w:t>
            </w:r>
          </w:p>
        </w:tc>
      </w:tr>
      <w:tr>
        <w:trPr>
          <w:trHeight w:val="216"/>
        </w:trPr>
        <w:tc>
          <w:tcPr>
            <w:tcW w:w="38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4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6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198"/>
        </w:trPr>
        <w:tc>
          <w:tcPr>
            <w:tcW w:w="382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Christopher Downs, Chief Financial Officer</w:t>
            </w:r>
          </w:p>
        </w:tc>
        <w:tc>
          <w:tcPr>
            <w:tcW w:w="120" w:type="dxa"/>
            <w:vAlign w:val="bottom"/>
          </w:tcPr>
          <w:p>
            <w:pPr>
              <w:spacing w:after="0"/>
              <w:rPr>
                <w:sz w:val="17"/>
                <w:szCs w:val="17"/>
                <w:color w:val="auto"/>
              </w:rPr>
            </w:pPr>
          </w:p>
        </w:tc>
        <w:tc>
          <w:tcPr>
            <w:tcW w:w="1040" w:type="dxa"/>
            <w:vAlign w:val="bottom"/>
          </w:tcPr>
          <w:p>
            <w:pPr>
              <w:jc w:val="right"/>
              <w:ind w:right="190"/>
              <w:spacing w:after="0" w:line="198" w:lineRule="exact"/>
              <w:rPr>
                <w:sz w:val="20"/>
                <w:szCs w:val="20"/>
                <w:color w:val="auto"/>
              </w:rPr>
            </w:pPr>
            <w:r>
              <w:rPr>
                <w:rFonts w:ascii="Times New Roman" w:cs="Times New Roman" w:eastAsia="Times New Roman" w:hAnsi="Times New Roman"/>
                <w:sz w:val="18"/>
                <w:szCs w:val="18"/>
                <w:color w:val="auto"/>
              </w:rPr>
              <w:t>2024</w:t>
            </w:r>
          </w:p>
        </w:tc>
        <w:tc>
          <w:tcPr>
            <w:tcW w:w="240" w:type="dxa"/>
            <w:vAlign w:val="bottom"/>
          </w:tcPr>
          <w:p>
            <w:pPr>
              <w:spacing w:after="0"/>
              <w:rPr>
                <w:sz w:val="17"/>
                <w:szCs w:val="17"/>
                <w:color w:val="auto"/>
              </w:rPr>
            </w:pPr>
          </w:p>
        </w:tc>
        <w:tc>
          <w:tcPr>
            <w:tcW w:w="1220" w:type="dxa"/>
            <w:vAlign w:val="bottom"/>
            <w:gridSpan w:val="2"/>
          </w:tcPr>
          <w:p>
            <w:pPr>
              <w:ind w:left="420"/>
              <w:spacing w:after="0" w:line="198" w:lineRule="exact"/>
              <w:rPr>
                <w:sz w:val="20"/>
                <w:szCs w:val="20"/>
                <w:color w:val="auto"/>
              </w:rPr>
            </w:pPr>
            <w:r>
              <w:rPr>
                <w:rFonts w:ascii="Times New Roman" w:cs="Times New Roman" w:eastAsia="Times New Roman" w:hAnsi="Times New Roman"/>
                <w:sz w:val="18"/>
                <w:szCs w:val="18"/>
                <w:color w:val="auto"/>
              </w:rPr>
              <w:t>340,000</w:t>
            </w:r>
          </w:p>
        </w:tc>
        <w:tc>
          <w:tcPr>
            <w:tcW w:w="1200" w:type="dxa"/>
            <w:vAlign w:val="bottom"/>
            <w:gridSpan w:val="2"/>
          </w:tcPr>
          <w:p>
            <w:pPr>
              <w:jc w:val="right"/>
              <w:ind w:right="200"/>
              <w:spacing w:after="0" w:line="198" w:lineRule="exact"/>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146,410</w:t>
            </w:r>
          </w:p>
        </w:tc>
        <w:tc>
          <w:tcPr>
            <w:tcW w:w="128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134,640</w:t>
            </w:r>
          </w:p>
        </w:tc>
        <w:tc>
          <w:tcPr>
            <w:tcW w:w="110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621,050</w:t>
            </w:r>
          </w:p>
        </w:tc>
      </w:tr>
      <w:tr>
        <w:trPr>
          <w:trHeight w:val="234"/>
        </w:trPr>
        <w:tc>
          <w:tcPr>
            <w:tcW w:w="3820" w:type="dxa"/>
            <w:vAlign w:val="bottom"/>
          </w:tcPr>
          <w:p>
            <w:pPr>
              <w:spacing w:after="0"/>
              <w:rPr>
                <w:sz w:val="20"/>
                <w:szCs w:val="20"/>
                <w:color w:val="auto"/>
              </w:rPr>
            </w:pPr>
          </w:p>
        </w:tc>
        <w:tc>
          <w:tcPr>
            <w:tcW w:w="1160" w:type="dxa"/>
            <w:vAlign w:val="bottom"/>
            <w:gridSpan w:val="2"/>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tcPr>
          <w:p>
            <w:pPr>
              <w:spacing w:after="0"/>
              <w:rPr>
                <w:sz w:val="20"/>
                <w:szCs w:val="20"/>
                <w:color w:val="auto"/>
              </w:rPr>
            </w:pPr>
          </w:p>
        </w:tc>
        <w:tc>
          <w:tcPr>
            <w:tcW w:w="1220" w:type="dxa"/>
            <w:vAlign w:val="bottom"/>
            <w:gridSpan w:val="2"/>
          </w:tcPr>
          <w:p>
            <w:pPr>
              <w:ind w:left="420"/>
              <w:spacing w:after="0"/>
              <w:rPr>
                <w:sz w:val="20"/>
                <w:szCs w:val="20"/>
                <w:color w:val="auto"/>
              </w:rPr>
            </w:pPr>
            <w:r>
              <w:rPr>
                <w:rFonts w:ascii="Times New Roman" w:cs="Times New Roman" w:eastAsia="Times New Roman" w:hAnsi="Times New Roman"/>
                <w:sz w:val="18"/>
                <w:szCs w:val="18"/>
                <w:color w:val="auto"/>
              </w:rPr>
              <w:t>340,000</w:t>
            </w:r>
          </w:p>
        </w:tc>
        <w:tc>
          <w:tcPr>
            <w:tcW w:w="120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10,344</w:t>
            </w:r>
          </w:p>
        </w:tc>
        <w:tc>
          <w:tcPr>
            <w:tcW w:w="122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9,011</w:t>
            </w:r>
          </w:p>
        </w:tc>
        <w:tc>
          <w:tcPr>
            <w:tcW w:w="128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42,160</w:t>
            </w: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401,515</w:t>
            </w:r>
          </w:p>
        </w:tc>
      </w:tr>
      <w:tr>
        <w:trPr>
          <w:trHeight w:val="216"/>
        </w:trPr>
        <w:tc>
          <w:tcPr>
            <w:tcW w:w="3820" w:type="dxa"/>
            <w:vAlign w:val="bottom"/>
          </w:tcPr>
          <w:p>
            <w:pPr>
              <w:spacing w:after="0"/>
              <w:rPr>
                <w:sz w:val="18"/>
                <w:szCs w:val="18"/>
                <w:color w:val="auto"/>
              </w:rPr>
            </w:pPr>
          </w:p>
        </w:tc>
        <w:tc>
          <w:tcPr>
            <w:tcW w:w="1160" w:type="dxa"/>
            <w:vAlign w:val="bottom"/>
            <w:gridSpan w:val="2"/>
          </w:tcPr>
          <w:p>
            <w:pPr>
              <w:spacing w:after="0"/>
              <w:rPr>
                <w:sz w:val="18"/>
                <w:szCs w:val="18"/>
                <w:color w:val="auto"/>
              </w:rPr>
            </w:pPr>
          </w:p>
        </w:tc>
        <w:tc>
          <w:tcPr>
            <w:tcW w:w="24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38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 Chief Medical Officer</w:t>
            </w:r>
          </w:p>
        </w:tc>
        <w:tc>
          <w:tcPr>
            <w:tcW w:w="1160" w:type="dxa"/>
            <w:vAlign w:val="bottom"/>
            <w:gridSpan w:val="2"/>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2024</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200,000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73,205</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88,436</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361,641</w:t>
            </w:r>
          </w:p>
        </w:tc>
      </w:tr>
      <w:tr>
        <w:trPr>
          <w:trHeight w:val="216"/>
        </w:trPr>
        <w:tc>
          <w:tcPr>
            <w:tcW w:w="382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190"/>
              <w:spacing w:after="0"/>
              <w:rPr>
                <w:sz w:val="20"/>
                <w:szCs w:val="20"/>
                <w:color w:val="auto"/>
              </w:rPr>
            </w:pPr>
            <w:r>
              <w:rPr>
                <w:rFonts w:ascii="Times New Roman" w:cs="Times New Roman" w:eastAsia="Times New Roman" w:hAnsi="Times New Roman"/>
                <w:sz w:val="18"/>
                <w:szCs w:val="18"/>
                <w:color w:val="auto"/>
              </w:rPr>
              <w:t>2023</w:t>
            </w:r>
          </w:p>
        </w:tc>
        <w:tc>
          <w:tcPr>
            <w:tcW w:w="240" w:type="dxa"/>
            <w:vAlign w:val="bottom"/>
            <w:shd w:val="clear" w:color="auto" w:fill="EEEEEE"/>
          </w:tcPr>
          <w:p>
            <w:pPr>
              <w:spacing w:after="0"/>
              <w:rPr>
                <w:sz w:val="18"/>
                <w:szCs w:val="18"/>
                <w:color w:val="auto"/>
              </w:rPr>
            </w:pPr>
          </w:p>
        </w:tc>
        <w:tc>
          <w:tcPr>
            <w:tcW w:w="1220" w:type="dxa"/>
            <w:vAlign w:val="bottom"/>
            <w:gridSpan w:val="2"/>
            <w:shd w:val="clear" w:color="auto" w:fill="EEEEEE"/>
          </w:tcPr>
          <w:p>
            <w:pPr>
              <w:ind w:left="420"/>
              <w:spacing w:after="0"/>
              <w:rPr>
                <w:sz w:val="20"/>
                <w:szCs w:val="20"/>
                <w:color w:val="auto"/>
              </w:rPr>
            </w:pPr>
            <w:r>
              <w:rPr>
                <w:rFonts w:ascii="Times New Roman" w:cs="Times New Roman" w:eastAsia="Times New Roman" w:hAnsi="Times New Roman"/>
                <w:sz w:val="18"/>
                <w:szCs w:val="18"/>
                <w:color w:val="auto"/>
              </w:rPr>
              <w:t>200,000</w:t>
            </w:r>
          </w:p>
        </w:tc>
        <w:tc>
          <w:tcPr>
            <w:tcW w:w="120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4,784</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4,168</w:t>
            </w:r>
          </w:p>
        </w:tc>
        <w:tc>
          <w:tcPr>
            <w:tcW w:w="128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61,200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270,152</w:t>
            </w:r>
          </w:p>
        </w:tc>
      </w:tr>
    </w:tbl>
    <w:p>
      <w:pPr>
        <w:spacing w:after="0" w:line="198" w:lineRule="exact"/>
        <w:rPr>
          <w:sz w:val="20"/>
          <w:szCs w:val="20"/>
          <w:color w:val="auto"/>
        </w:rPr>
      </w:pPr>
    </w:p>
    <w:p>
      <w:pPr>
        <w:jc w:val="both"/>
        <w:ind w:firstLine="8"/>
        <w:spacing w:after="0" w:line="266" w:lineRule="auto"/>
        <w:tabs>
          <w:tab w:leader="none" w:pos="289"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the full grant date fair value of the awards calculated in accordance with FASB ASC Topic 718. These amounts do not necessarily correspond to the actual value that may be realized by the named executive officer. Option awards for the 2024 calendar year were granted in March 2025 and option awards for 2023 were granted in April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Narrative Disclosure to Summary Compensation Table</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review compensation annually for all employees, including our executives. In setting executive base salaries and bonuses and granting equity incentive awards, we consider compensation for comparable positions in the market, the individual executive’s performance as compared to our expectations and objectives, our desire to motivate our employees to achieve short and long-term results that are in the best interests of our stockholders and a long-term commitment to our company. We do not target a specific competitive position or a specific mix of compensation among base salary, bonus or long-term incentives. Our Compensation Committee typically reviews and discusses management’s proposed compensation with the Chief Executive Officer for all executives other than the Chief Executive Officer. Based on those discussions and its discretion, the Compensation Committee then determines the compensation for each executive officer. Our Compensation Committee, without members of management present, discusses and ultimately approves the compensation of our executive officers.</w:t>
      </w:r>
    </w:p>
    <w:p>
      <w:pPr>
        <w:spacing w:after="0" w:line="18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Annual Base Salary</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For 2024, the base salaries for Mr. Climaco, Mr. Downs, and Dr. Silberman did not change from the prior year and were $525,000, $340,000, and $200,000, respectively. For 2025, the compensation committee of the board of directors increased the base salaries for Mr. Climaco, Mr. Downs, and Dr. Silberman to $580,000, $450,000 and $495,000, respectively.</w:t>
      </w:r>
    </w:p>
    <w:p>
      <w:pPr>
        <w:spacing w:after="0" w:line="17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Annual Bonus and Non-Equity Incentive Plan Compensation</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seek to motivate and reward our executives for achievements relative to our corporate goals and objectives for each fiscal year. For the 2024 compensation year, the target bonus for Mr. Climaco, Mr. Downs and Dr. Silberman were 55%, 40%, and 40%, respectively, of their base salary.</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actual performance-based annual bonus paid is calculated by multiplying the executive’s annual base salary, target bonus percentage, the percentage attainment of the corporate goals established by the Board for such year. However, the Compensation Committee is not required to calculate bonuses in this manner and retains discretion in the amounts it awards and the factors it takes into consideration in determining bonus amounts. At the end of the year, the Compensation Committee reviews our performance against our goals and objectives and approves the extent to which we achieved each of our corporate goals and objectives, and, for each named executive officer, the amount of the bonus awarded.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For 2024, bonuses were awarded based on our achievement of specified corporate goals, including our ability to maintain sufficient funding, certain intellectual property development goals, and preparatory activities for submission of a New Drug Application for Berubicin. Based on the level of achievement, our Compensation Committee awarded Mr. Climaco, Mr. Downs and Dr. Silberman 99%, 99% and 99.5% of their potential bonuses for 2024. These actual bonus amounts are reflected in the “Non-Equity Incentive Plans” column of the Summary Compensation Table above.</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2025, bonuses will be awarded at the discretion of the board of directors based on our achievement of specified corporate goals.</w:t>
      </w:r>
    </w:p>
    <w:p>
      <w:pPr>
        <w:spacing w:after="0" w:line="22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Long-Term Incentives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Each year our Compensation Committee provides for equity grants to each of our named executive officers to provide for long-term performance incentive. On March 11, 2025, the Compensation Committee recommended, and the Board approved such recommendation, equity grants for service in 2024 from the Stock Plan, subject to shareholder approval to increase the number of shares underlying the Stock Plan, a total of options to purchase 204,973 shares of common stock at an exercise price of $2.53 that vest over 2 years.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Recoupment Policy</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adopted the CNS Pharmaceuticals, Inc. Dodd-Frank Restatement Recoupment Policy effective as of October 2, 2023. In the event that we are required to prepare a financial restatement, the Committee will recoup all erroneously awarded incentive-based compensation calculated on a pre-tax basis received after October 2, 2023, by a person (i) after beginning service as an executive officer, (ii) who served as an executive officer at any time during the performance period for that incentive-based compensation, and (iii) during the three completed fiscal years immediately preceding the date that the Company is required to prepare a Restatement, and any transition period (that results from a change in the Company’s fiscal year) of less than nine months within or immediately following those three completed fiscal years. “clawback” or recoupment policy in our executive compensation program contributes to creating and maintaining a culture that emphasizes integrity and accountability and reinforces the performance-based principles underlying our executive compensation program.</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John Climaco</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On September 1, 2017, we entered into an employment agreement with John Climaco pursuant to which Mr. Climaco agreed to serve as our Chief Executive Officer commencing on such date for an initial term of three years. On September 1, 2020, we entered into an amendment to the employment agreement. The amendment extends the term of employment under the employment agreement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w:t>
      </w:r>
    </w:p>
    <w:p>
      <w:pPr>
        <w:spacing w:after="0" w:line="19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Other Executive Arrangements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 June 28, 2019, we entered into employment letters with Drs. Silberman and Picker. Dr. Silberman agreed to commit 50% of her time to our matters and Dr. Picker agreed to commit 25% of his time to our matters. As of January 1, 2025, Dr. Silberman is devoting 100% of her time to our matters.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2" w:name="page13"/>
    <w:bookmarkEnd w:id="12"/>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The following table sets forth certain information concerning our outstanding options for our named executive officers on December 31, 2024.</w:t>
      </w:r>
    </w:p>
    <w:p>
      <w:pPr>
        <w:spacing w:after="0" w:line="221" w:lineRule="exact"/>
        <w:rPr>
          <w:sz w:val="20"/>
          <w:szCs w:val="20"/>
          <w:color w:val="auto"/>
        </w:rPr>
      </w:pPr>
    </w:p>
    <w:p>
      <w:pPr>
        <w:ind w:left="3820"/>
        <w:spacing w:after="0"/>
        <w:rPr>
          <w:sz w:val="20"/>
          <w:szCs w:val="20"/>
          <w:color w:val="auto"/>
        </w:rPr>
      </w:pPr>
      <w:r>
        <w:rPr>
          <w:rFonts w:ascii="Times New Roman" w:cs="Times New Roman" w:eastAsia="Times New Roman" w:hAnsi="Times New Roman"/>
          <w:sz w:val="18"/>
          <w:szCs w:val="18"/>
          <w:b w:val="1"/>
          <w:bCs w:val="1"/>
          <w:color w:val="auto"/>
        </w:rPr>
        <w:t>Outstanding Equity Awards At Fiscal Year-End —2024</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2600" w:type="dxa"/>
            <w:vAlign w:val="bottom"/>
            <w:tcBorders>
              <w:bottom w:val="single" w:sz="8" w:color="auto"/>
            </w:tcBorders>
          </w:tcPr>
          <w:p>
            <w:pPr>
              <w:spacing w:after="0"/>
              <w:rPr>
                <w:sz w:val="20"/>
                <w:szCs w:val="20"/>
                <w:color w:val="auto"/>
              </w:rPr>
            </w:pPr>
          </w:p>
        </w:tc>
        <w:tc>
          <w:tcPr>
            <w:tcW w:w="120" w:type="dxa"/>
            <w:vAlign w:val="bottom"/>
            <w:tcBorders>
              <w:bottom w:val="single" w:sz="8" w:color="auto"/>
            </w:tcBorders>
          </w:tcPr>
          <w:p>
            <w:pPr>
              <w:spacing w:after="0"/>
              <w:rPr>
                <w:sz w:val="20"/>
                <w:szCs w:val="20"/>
                <w:color w:val="auto"/>
              </w:rPr>
            </w:pPr>
          </w:p>
        </w:tc>
        <w:tc>
          <w:tcPr>
            <w:tcW w:w="2380" w:type="dxa"/>
            <w:vAlign w:val="bottom"/>
            <w:tcBorders>
              <w:bottom w:val="single" w:sz="8" w:color="auto"/>
            </w:tcBorders>
            <w:gridSpan w:val="4"/>
          </w:tcPr>
          <w:p>
            <w:pPr>
              <w:jc w:val="right"/>
              <w:ind w:right="100"/>
              <w:spacing w:after="0"/>
              <w:rPr>
                <w:sz w:val="20"/>
                <w:szCs w:val="20"/>
                <w:color w:val="auto"/>
              </w:rPr>
            </w:pPr>
            <w:r>
              <w:rPr>
                <w:rFonts w:ascii="Times New Roman" w:cs="Times New Roman" w:eastAsia="Times New Roman" w:hAnsi="Times New Roman"/>
                <w:sz w:val="18"/>
                <w:szCs w:val="18"/>
                <w:b w:val="1"/>
                <w:bCs w:val="1"/>
                <w:color w:val="auto"/>
              </w:rPr>
              <w:t>Option Awards</w:t>
            </w:r>
          </w:p>
        </w:tc>
        <w:tc>
          <w:tcPr>
            <w:tcW w:w="100" w:type="dxa"/>
            <w:vAlign w:val="bottom"/>
            <w:tcBorders>
              <w:bottom w:val="single" w:sz="8" w:color="auto"/>
            </w:tcBorders>
          </w:tcPr>
          <w:p>
            <w:pPr>
              <w:spacing w:after="0"/>
              <w:rPr>
                <w:sz w:val="20"/>
                <w:szCs w:val="20"/>
                <w:color w:val="auto"/>
              </w:rPr>
            </w:pPr>
          </w:p>
        </w:tc>
        <w:tc>
          <w:tcPr>
            <w:tcW w:w="1080" w:type="dxa"/>
            <w:vAlign w:val="bottom"/>
            <w:tcBorders>
              <w:bottom w:val="single" w:sz="8" w:color="auto"/>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120" w:type="dxa"/>
            <w:vAlign w:val="bottom"/>
            <w:tcBorders>
              <w:bottom w:val="single" w:sz="8" w:color="auto"/>
            </w:tcBorders>
          </w:tcPr>
          <w:p>
            <w:pPr>
              <w:spacing w:after="0"/>
              <w:rPr>
                <w:sz w:val="20"/>
                <w:szCs w:val="20"/>
                <w:color w:val="auto"/>
              </w:rPr>
            </w:pPr>
          </w:p>
        </w:tc>
        <w:tc>
          <w:tcPr>
            <w:tcW w:w="220" w:type="dxa"/>
            <w:vAlign w:val="bottom"/>
            <w:tcBorders>
              <w:bottom w:val="single" w:sz="8" w:color="auto"/>
            </w:tcBorders>
          </w:tcPr>
          <w:p>
            <w:pPr>
              <w:spacing w:after="0"/>
              <w:rPr>
                <w:sz w:val="20"/>
                <w:szCs w:val="20"/>
                <w:color w:val="auto"/>
              </w:rPr>
            </w:pPr>
          </w:p>
        </w:tc>
        <w:tc>
          <w:tcPr>
            <w:tcW w:w="980" w:type="dxa"/>
            <w:vAlign w:val="bottom"/>
            <w:tcBorders>
              <w:bottom w:val="single" w:sz="8" w:color="auto"/>
            </w:tcBorders>
          </w:tcPr>
          <w:p>
            <w:pPr>
              <w:spacing w:after="0"/>
              <w:rPr>
                <w:sz w:val="20"/>
                <w:szCs w:val="20"/>
                <w:color w:val="auto"/>
              </w:rPr>
            </w:pPr>
          </w:p>
        </w:tc>
        <w:tc>
          <w:tcPr>
            <w:tcW w:w="120" w:type="dxa"/>
            <w:vAlign w:val="bottom"/>
          </w:tcPr>
          <w:p>
            <w:pPr>
              <w:spacing w:after="0"/>
              <w:rPr>
                <w:sz w:val="20"/>
                <w:szCs w:val="20"/>
                <w:color w:val="auto"/>
              </w:rPr>
            </w:pPr>
          </w:p>
        </w:tc>
        <w:tc>
          <w:tcPr>
            <w:tcW w:w="2220" w:type="dxa"/>
            <w:vAlign w:val="bottom"/>
            <w:tcBorders>
              <w:bottom w:val="single" w:sz="8" w:color="auto"/>
            </w:tcBorders>
            <w:gridSpan w:val="3"/>
          </w:tcPr>
          <w:p>
            <w:pPr>
              <w:jc w:val="right"/>
              <w:ind w:right="490"/>
              <w:spacing w:after="0"/>
              <w:rPr>
                <w:sz w:val="20"/>
                <w:szCs w:val="20"/>
                <w:color w:val="auto"/>
              </w:rPr>
            </w:pPr>
            <w:r>
              <w:rPr>
                <w:rFonts w:ascii="Times New Roman" w:cs="Times New Roman" w:eastAsia="Times New Roman" w:hAnsi="Times New Roman"/>
                <w:sz w:val="18"/>
                <w:szCs w:val="18"/>
                <w:b w:val="1"/>
                <w:bCs w:val="1"/>
                <w:color w:val="auto"/>
              </w:rPr>
              <w:t>Stock Awards</w:t>
            </w:r>
          </w:p>
        </w:tc>
        <w:tc>
          <w:tcPr>
            <w:tcW w:w="100" w:type="dxa"/>
            <w:vAlign w:val="bottom"/>
          </w:tcPr>
          <w:p>
            <w:pPr>
              <w:spacing w:after="0"/>
              <w:rPr>
                <w:sz w:val="20"/>
                <w:szCs w:val="20"/>
                <w:color w:val="auto"/>
              </w:rPr>
            </w:pPr>
          </w:p>
        </w:tc>
      </w:tr>
      <w:tr>
        <w:trPr>
          <w:trHeight w:val="403"/>
        </w:trPr>
        <w:tc>
          <w:tcPr>
            <w:tcW w:w="26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12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0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Market</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00" w:type="dxa"/>
            <w:vAlign w:val="bottom"/>
          </w:tcPr>
          <w:p>
            <w:pPr>
              <w:spacing w:after="0"/>
              <w:rPr>
                <w:sz w:val="18"/>
                <w:szCs w:val="18"/>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value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Securities</w:t>
            </w:r>
          </w:p>
        </w:tc>
        <w:tc>
          <w:tcPr>
            <w:tcW w:w="100" w:type="dxa"/>
            <w:vAlign w:val="bottom"/>
          </w:tcPr>
          <w:p>
            <w:pPr>
              <w:spacing w:after="0"/>
              <w:rPr>
                <w:sz w:val="18"/>
                <w:szCs w:val="18"/>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Securities</w:t>
            </w: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shares or</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shares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Underlying</w:t>
            </w:r>
          </w:p>
        </w:tc>
        <w:tc>
          <w:tcPr>
            <w:tcW w:w="100" w:type="dxa"/>
            <w:vAlign w:val="bottom"/>
          </w:tcPr>
          <w:p>
            <w:pPr>
              <w:spacing w:after="0"/>
              <w:rPr>
                <w:sz w:val="18"/>
                <w:szCs w:val="18"/>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Underlying</w:t>
            </w: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7"/>
              </w:rPr>
              <w:t>units of</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units of</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2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Unexercised</w:t>
            </w:r>
          </w:p>
        </w:tc>
        <w:tc>
          <w:tcPr>
            <w:tcW w:w="100" w:type="dxa"/>
            <w:vAlign w:val="bottom"/>
          </w:tcPr>
          <w:p>
            <w:pPr>
              <w:spacing w:after="0"/>
              <w:rPr>
                <w:sz w:val="18"/>
                <w:szCs w:val="18"/>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7"/>
              </w:rPr>
              <w:t>Unexercised</w:t>
            </w: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stock that</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7"/>
              </w:rPr>
              <w:t>stock that</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Grant Date of</w:t>
            </w:r>
          </w:p>
        </w:tc>
        <w:tc>
          <w:tcPr>
            <w:tcW w:w="112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Options (#)</w:t>
            </w:r>
          </w:p>
        </w:tc>
        <w:tc>
          <w:tcPr>
            <w:tcW w:w="100" w:type="dxa"/>
            <w:vAlign w:val="bottom"/>
          </w:tcPr>
          <w:p>
            <w:pPr>
              <w:spacing w:after="0"/>
              <w:rPr>
                <w:sz w:val="18"/>
                <w:szCs w:val="18"/>
                <w:color w:val="auto"/>
              </w:rPr>
            </w:pPr>
          </w:p>
        </w:tc>
        <w:tc>
          <w:tcPr>
            <w:tcW w:w="12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Options (#)</w:t>
            </w:r>
          </w:p>
        </w:tc>
        <w:tc>
          <w:tcPr>
            <w:tcW w:w="13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Option</w:t>
            </w: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7"/>
              </w:rPr>
              <w:t>have not</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have not</w:t>
            </w:r>
          </w:p>
        </w:tc>
      </w:tr>
      <w:tr>
        <w:trPr>
          <w:trHeight w:val="216"/>
        </w:trPr>
        <w:tc>
          <w:tcPr>
            <w:tcW w:w="26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6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9"/>
              </w:rPr>
              <w:t>Equity</w:t>
            </w:r>
          </w:p>
        </w:tc>
        <w:tc>
          <w:tcPr>
            <w:tcW w:w="112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8"/>
              </w:rPr>
              <w:t>Exercisable</w:t>
            </w:r>
          </w:p>
        </w:tc>
        <w:tc>
          <w:tcPr>
            <w:tcW w:w="1380" w:type="dxa"/>
            <w:vAlign w:val="bottom"/>
            <w:gridSpan w:val="3"/>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Unexercisable</w:t>
            </w:r>
          </w:p>
        </w:tc>
        <w:tc>
          <w:tcPr>
            <w:tcW w:w="13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Exercise</w:t>
            </w:r>
          </w:p>
        </w:tc>
        <w:tc>
          <w:tcPr>
            <w:tcW w:w="110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8"/>
              </w:rPr>
              <w:t>Expiration</w:t>
            </w:r>
          </w:p>
        </w:tc>
        <w:tc>
          <w:tcPr>
            <w:tcW w:w="12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vested</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vested</w:t>
            </w:r>
          </w:p>
        </w:tc>
      </w:tr>
      <w:tr>
        <w:trPr>
          <w:trHeight w:val="238"/>
        </w:trPr>
        <w:tc>
          <w:tcPr>
            <w:tcW w:w="26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20" w:type="dxa"/>
            <w:vAlign w:val="bottom"/>
          </w:tcPr>
          <w:p>
            <w:pPr>
              <w:spacing w:after="0"/>
              <w:rPr>
                <w:sz w:val="20"/>
                <w:szCs w:val="20"/>
                <w:color w:val="auto"/>
              </w:rPr>
            </w:pPr>
          </w:p>
        </w:tc>
        <w:tc>
          <w:tcPr>
            <w:tcW w:w="126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4"/>
              </w:rPr>
              <w:t>Award</w:t>
            </w: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(1)</w:t>
            </w:r>
          </w:p>
        </w:tc>
        <w:tc>
          <w:tcPr>
            <w:tcW w:w="120" w:type="dxa"/>
            <w:vAlign w:val="bottom"/>
          </w:tcPr>
          <w:p>
            <w:pPr>
              <w:spacing w:after="0"/>
              <w:rPr>
                <w:sz w:val="20"/>
                <w:szCs w:val="20"/>
                <w:color w:val="auto"/>
              </w:rPr>
            </w:pPr>
          </w:p>
        </w:tc>
        <w:tc>
          <w:tcPr>
            <w:tcW w:w="1180" w:type="dxa"/>
            <w:vAlign w:val="bottom"/>
            <w:gridSpan w:val="2"/>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5"/>
              </w:rPr>
              <w:t>(1)</w:t>
            </w:r>
          </w:p>
        </w:tc>
        <w:tc>
          <w:tcPr>
            <w:tcW w:w="200" w:type="dxa"/>
            <w:vAlign w:val="bottom"/>
          </w:tcPr>
          <w:p>
            <w:pPr>
              <w:spacing w:after="0"/>
              <w:rPr>
                <w:sz w:val="20"/>
                <w:szCs w:val="20"/>
                <w:color w:val="auto"/>
              </w:rPr>
            </w:pPr>
          </w:p>
        </w:tc>
        <w:tc>
          <w:tcPr>
            <w:tcW w:w="134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Price</w:t>
            </w:r>
          </w:p>
        </w:tc>
        <w:tc>
          <w:tcPr>
            <w:tcW w:w="11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Date</w:t>
            </w: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w:t>
            </w:r>
          </w:p>
        </w:tc>
        <w:tc>
          <w:tcPr>
            <w:tcW w:w="220" w:type="dxa"/>
            <w:vAlign w:val="bottom"/>
          </w:tcPr>
          <w:p>
            <w:pPr>
              <w:spacing w:after="0"/>
              <w:rPr>
                <w:sz w:val="20"/>
                <w:szCs w:val="20"/>
                <w:color w:val="auto"/>
              </w:rPr>
            </w:pPr>
          </w:p>
        </w:tc>
        <w:tc>
          <w:tcPr>
            <w:tcW w:w="100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($)(3)</w:t>
            </w:r>
          </w:p>
        </w:tc>
        <w:tc>
          <w:tcPr>
            <w:tcW w:w="100" w:type="dxa"/>
            <w:vAlign w:val="bottom"/>
          </w:tcPr>
          <w:p>
            <w:pPr>
              <w:spacing w:after="0"/>
              <w:rPr>
                <w:sz w:val="20"/>
                <w:szCs w:val="20"/>
                <w:color w:val="auto"/>
              </w:rPr>
            </w:pPr>
          </w:p>
        </w:tc>
      </w:tr>
      <w:tr>
        <w:trPr>
          <w:trHeight w:val="210"/>
        </w:trPr>
        <w:tc>
          <w:tcPr>
            <w:tcW w:w="26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120" w:type="dxa"/>
            <w:vAlign w:val="bottom"/>
            <w:tcBorders>
              <w:top w:val="single" w:sz="8" w:color="EEEEEE"/>
            </w:tcBorders>
            <w:shd w:val="clear" w:color="auto" w:fill="EEEEEE"/>
          </w:tcPr>
          <w:p>
            <w:pPr>
              <w:spacing w:after="0"/>
              <w:rPr>
                <w:sz w:val="18"/>
                <w:szCs w:val="18"/>
                <w:color w:val="auto"/>
              </w:rPr>
            </w:pPr>
          </w:p>
        </w:tc>
        <w:tc>
          <w:tcPr>
            <w:tcW w:w="114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4/7/2024</w:t>
            </w:r>
          </w:p>
        </w:tc>
        <w:tc>
          <w:tcPr>
            <w:tcW w:w="1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w:t>
            </w:r>
          </w:p>
        </w:tc>
        <w:tc>
          <w:tcPr>
            <w:tcW w:w="1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10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200" w:type="dxa"/>
            <w:vAlign w:val="bottom"/>
            <w:tcBorders>
              <w:top w:val="single" w:sz="8" w:color="EEEEEE"/>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646.50</w:t>
            </w:r>
          </w:p>
        </w:tc>
        <w:tc>
          <w:tcPr>
            <w:tcW w:w="220" w:type="dxa"/>
            <w:vAlign w:val="bottom"/>
            <w:tcBorders>
              <w:top w:val="single" w:sz="8" w:color="EEEEEE"/>
            </w:tcBorders>
            <w:shd w:val="clear" w:color="auto" w:fill="EEEEEE"/>
          </w:tcPr>
          <w:p>
            <w:pPr>
              <w:spacing w:after="0"/>
              <w:rPr>
                <w:sz w:val="18"/>
                <w:szCs w:val="18"/>
                <w:color w:val="auto"/>
              </w:rPr>
            </w:pPr>
          </w:p>
        </w:tc>
        <w:tc>
          <w:tcPr>
            <w:tcW w:w="9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4/7/2034</w:t>
            </w:r>
          </w:p>
        </w:tc>
        <w:tc>
          <w:tcPr>
            <w:tcW w:w="1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w:t>
            </w:r>
          </w:p>
        </w:tc>
        <w:tc>
          <w:tcPr>
            <w:tcW w:w="220" w:type="dxa"/>
            <w:vAlign w:val="bottom"/>
            <w:tcBorders>
              <w:top w:val="single" w:sz="8" w:color="EEEEEE"/>
            </w:tcBorders>
            <w:shd w:val="clear" w:color="auto" w:fill="EEEEEE"/>
          </w:tcPr>
          <w:p>
            <w:pPr>
              <w:spacing w:after="0"/>
              <w:rPr>
                <w:sz w:val="18"/>
                <w:szCs w:val="18"/>
                <w:color w:val="auto"/>
              </w:rPr>
            </w:pPr>
          </w:p>
        </w:tc>
        <w:tc>
          <w:tcPr>
            <w:tcW w:w="10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w:t>
            </w:r>
          </w:p>
        </w:tc>
        <w:tc>
          <w:tcPr>
            <w:tcW w:w="13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6</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2,490.00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4/28/2022</w:t>
            </w: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08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2/5/2021</w:t>
            </w:r>
          </w:p>
        </w:tc>
        <w:tc>
          <w:tcPr>
            <w:tcW w:w="12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w:t>
            </w:r>
          </w:p>
        </w:tc>
        <w:tc>
          <w:tcPr>
            <w:tcW w:w="13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1</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252,000.00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6/28/2019</w:t>
            </w:r>
          </w:p>
        </w:tc>
        <w:tc>
          <w:tcPr>
            <w:tcW w:w="12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6</w:t>
            </w:r>
          </w:p>
        </w:tc>
        <w:tc>
          <w:tcPr>
            <w:tcW w:w="1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150,000.00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198"/>
        </w:trPr>
        <w:tc>
          <w:tcPr>
            <w:tcW w:w="260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Christopher Downs</w:t>
            </w:r>
          </w:p>
        </w:tc>
        <w:tc>
          <w:tcPr>
            <w:tcW w:w="120" w:type="dxa"/>
            <w:vAlign w:val="bottom"/>
          </w:tcPr>
          <w:p>
            <w:pPr>
              <w:spacing w:after="0"/>
              <w:rPr>
                <w:sz w:val="17"/>
                <w:szCs w:val="17"/>
                <w:color w:val="auto"/>
              </w:rPr>
            </w:pPr>
          </w:p>
        </w:tc>
        <w:tc>
          <w:tcPr>
            <w:tcW w:w="1140" w:type="dxa"/>
            <w:vAlign w:val="bottom"/>
          </w:tcPr>
          <w:p>
            <w:pPr>
              <w:jc w:val="right"/>
              <w:spacing w:after="0" w:line="198" w:lineRule="exact"/>
              <w:rPr>
                <w:sz w:val="20"/>
                <w:szCs w:val="20"/>
                <w:color w:val="auto"/>
              </w:rPr>
            </w:pPr>
            <w:r>
              <w:rPr>
                <w:rFonts w:ascii="Times New Roman" w:cs="Times New Roman" w:eastAsia="Times New Roman" w:hAnsi="Times New Roman"/>
                <w:sz w:val="18"/>
                <w:szCs w:val="18"/>
                <w:color w:val="auto"/>
              </w:rPr>
              <w:t>4/7/2024</w:t>
            </w:r>
          </w:p>
        </w:tc>
        <w:tc>
          <w:tcPr>
            <w:tcW w:w="120" w:type="dxa"/>
            <w:vAlign w:val="bottom"/>
          </w:tcPr>
          <w:p>
            <w:pPr>
              <w:spacing w:after="0"/>
              <w:rPr>
                <w:sz w:val="17"/>
                <w:szCs w:val="17"/>
                <w:color w:val="auto"/>
              </w:rPr>
            </w:pPr>
          </w:p>
        </w:tc>
        <w:tc>
          <w:tcPr>
            <w:tcW w:w="1120" w:type="dxa"/>
            <w:vAlign w:val="bottom"/>
            <w:gridSpan w:val="2"/>
          </w:tcPr>
          <w:p>
            <w:pPr>
              <w:jc w:val="right"/>
              <w:ind w:right="120"/>
              <w:spacing w:after="0" w:line="198" w:lineRule="exact"/>
              <w:rPr>
                <w:sz w:val="20"/>
                <w:szCs w:val="20"/>
                <w:color w:val="auto"/>
              </w:rPr>
            </w:pPr>
            <w:r>
              <w:rPr>
                <w:rFonts w:ascii="Times New Roman" w:cs="Times New Roman" w:eastAsia="Times New Roman" w:hAnsi="Times New Roman"/>
                <w:sz w:val="18"/>
                <w:szCs w:val="18"/>
                <w:color w:val="auto"/>
              </w:rPr>
              <w:t>6</w:t>
            </w:r>
          </w:p>
        </w:tc>
        <w:tc>
          <w:tcPr>
            <w:tcW w:w="1380" w:type="dxa"/>
            <w:vAlign w:val="bottom"/>
            <w:gridSpan w:val="3"/>
          </w:tcPr>
          <w:p>
            <w:pPr>
              <w:jc w:val="right"/>
              <w:ind w:right="200"/>
              <w:spacing w:after="0" w:line="198" w:lineRule="exact"/>
              <w:rPr>
                <w:sz w:val="20"/>
                <w:szCs w:val="20"/>
                <w:color w:val="auto"/>
              </w:rPr>
            </w:pPr>
            <w:r>
              <w:rPr>
                <w:rFonts w:ascii="Times New Roman" w:cs="Times New Roman" w:eastAsia="Times New Roman" w:hAnsi="Times New Roman"/>
                <w:sz w:val="18"/>
                <w:szCs w:val="18"/>
                <w:color w:val="auto"/>
              </w:rPr>
              <w:t>10</w:t>
            </w:r>
          </w:p>
        </w:tc>
        <w:tc>
          <w:tcPr>
            <w:tcW w:w="134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646.50</w:t>
            </w:r>
          </w:p>
        </w:tc>
        <w:tc>
          <w:tcPr>
            <w:tcW w:w="110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4/7/2034</w:t>
            </w:r>
          </w:p>
        </w:tc>
        <w:tc>
          <w:tcPr>
            <w:tcW w:w="1220" w:type="dxa"/>
            <w:vAlign w:val="bottom"/>
            <w:gridSpan w:val="2"/>
          </w:tcPr>
          <w:p>
            <w:pPr>
              <w:jc w:val="right"/>
              <w:ind w:right="220"/>
              <w:spacing w:after="0" w:line="198" w:lineRule="exact"/>
              <w:rPr>
                <w:sz w:val="20"/>
                <w:szCs w:val="20"/>
                <w:color w:val="auto"/>
              </w:rPr>
            </w:pPr>
            <w:r>
              <w:rPr>
                <w:rFonts w:ascii="Times New Roman" w:cs="Times New Roman" w:eastAsia="Times New Roman" w:hAnsi="Times New Roman"/>
                <w:sz w:val="18"/>
                <w:szCs w:val="18"/>
                <w:color w:val="auto"/>
              </w:rPr>
              <w:t>10</w:t>
            </w:r>
          </w:p>
        </w:tc>
        <w:tc>
          <w:tcPr>
            <w:tcW w:w="1100" w:type="dxa"/>
            <w:vAlign w:val="bottom"/>
            <w:gridSpan w:val="2"/>
          </w:tcPr>
          <w:p>
            <w:pPr>
              <w:jc w:val="right"/>
              <w:ind w:right="100"/>
              <w:spacing w:after="0" w:line="198" w:lineRule="exact"/>
              <w:rPr>
                <w:sz w:val="20"/>
                <w:szCs w:val="20"/>
                <w:color w:val="auto"/>
              </w:rPr>
            </w:pPr>
            <w:r>
              <w:rPr>
                <w:rFonts w:ascii="Times New Roman" w:cs="Times New Roman" w:eastAsia="Times New Roman" w:hAnsi="Times New Roman"/>
                <w:sz w:val="18"/>
                <w:szCs w:val="18"/>
                <w:color w:val="auto"/>
              </w:rPr>
              <w:t>60</w:t>
            </w: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1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1380" w:type="dxa"/>
            <w:vAlign w:val="bottom"/>
            <w:gridSpan w:val="3"/>
          </w:tcPr>
          <w:p>
            <w:pPr>
              <w:jc w:val="right"/>
              <w:ind w:right="200"/>
              <w:spacing w:after="0"/>
              <w:rPr>
                <w:sz w:val="20"/>
                <w:szCs w:val="20"/>
                <w:color w:val="auto"/>
              </w:rPr>
            </w:pPr>
            <w:r>
              <w:rPr>
                <w:rFonts w:ascii="Times New Roman" w:cs="Times New Roman" w:eastAsia="Times New Roman" w:hAnsi="Times New Roman"/>
                <w:sz w:val="18"/>
                <w:szCs w:val="18"/>
                <w:color w:val="auto"/>
              </w:rPr>
              <w:t>3</w:t>
            </w:r>
          </w:p>
        </w:tc>
        <w:tc>
          <w:tcPr>
            <w:tcW w:w="13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2,490.00</w:t>
            </w: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4/28/2022</w:t>
            </w:r>
          </w:p>
        </w:tc>
        <w:tc>
          <w:tcPr>
            <w:tcW w:w="10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600" w:type="dxa"/>
            <w:vAlign w:val="bottom"/>
          </w:tcPr>
          <w:p>
            <w:pPr>
              <w:spacing w:after="0"/>
              <w:rPr>
                <w:sz w:val="18"/>
                <w:szCs w:val="18"/>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2/5/2021</w:t>
            </w:r>
          </w:p>
        </w:tc>
        <w:tc>
          <w:tcPr>
            <w:tcW w:w="11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2</w:t>
            </w:r>
          </w:p>
        </w:tc>
        <w:tc>
          <w:tcPr>
            <w:tcW w:w="100" w:type="dxa"/>
            <w:vAlign w:val="bottom"/>
          </w:tcPr>
          <w:p>
            <w:pPr>
              <w:spacing w:after="0"/>
              <w:rPr>
                <w:sz w:val="18"/>
                <w:szCs w:val="18"/>
                <w:color w:val="auto"/>
              </w:rPr>
            </w:pPr>
          </w:p>
        </w:tc>
        <w:tc>
          <w:tcPr>
            <w:tcW w:w="12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252,000.00</w:t>
            </w: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4"/>
        </w:trPr>
        <w:tc>
          <w:tcPr>
            <w:tcW w:w="2600" w:type="dxa"/>
            <w:vAlign w:val="bottom"/>
          </w:tcPr>
          <w:p>
            <w:pPr>
              <w:spacing w:after="0"/>
              <w:rPr>
                <w:sz w:val="20"/>
                <w:szCs w:val="20"/>
                <w:color w:val="auto"/>
              </w:rPr>
            </w:pPr>
          </w:p>
        </w:tc>
        <w:tc>
          <w:tcPr>
            <w:tcW w:w="1380" w:type="dxa"/>
            <w:vAlign w:val="bottom"/>
            <w:gridSpan w:val="3"/>
          </w:tcPr>
          <w:p>
            <w:pPr>
              <w:jc w:val="right"/>
              <w:ind w:right="120"/>
              <w:spacing w:after="0"/>
              <w:rPr>
                <w:sz w:val="20"/>
                <w:szCs w:val="20"/>
                <w:color w:val="auto"/>
              </w:rPr>
            </w:pPr>
            <w:r>
              <w:rPr>
                <w:rFonts w:ascii="Times New Roman" w:cs="Times New Roman" w:eastAsia="Times New Roman" w:hAnsi="Times New Roman"/>
                <w:sz w:val="18"/>
                <w:szCs w:val="18"/>
                <w:color w:val="auto"/>
              </w:rPr>
              <w:t>11/13/2019</w:t>
            </w:r>
          </w:p>
        </w:tc>
        <w:tc>
          <w:tcPr>
            <w:tcW w:w="112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4</w:t>
            </w:r>
          </w:p>
        </w:tc>
        <w:tc>
          <w:tcPr>
            <w:tcW w:w="100" w:type="dxa"/>
            <w:vAlign w:val="bottom"/>
          </w:tcPr>
          <w:p>
            <w:pPr>
              <w:spacing w:after="0"/>
              <w:rPr>
                <w:sz w:val="20"/>
                <w:szCs w:val="20"/>
                <w:color w:val="auto"/>
              </w:rPr>
            </w:pPr>
          </w:p>
        </w:tc>
        <w:tc>
          <w:tcPr>
            <w:tcW w:w="1280" w:type="dxa"/>
            <w:vAlign w:val="bottom"/>
            <w:gridSpan w:val="2"/>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300,000.00</w:t>
            </w:r>
          </w:p>
        </w:tc>
        <w:tc>
          <w:tcPr>
            <w:tcW w:w="11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216"/>
        </w:trPr>
        <w:tc>
          <w:tcPr>
            <w:tcW w:w="26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1380" w:type="dxa"/>
            <w:vAlign w:val="bottom"/>
            <w:gridSpan w:val="3"/>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4/7/2024</w:t>
            </w: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w:t>
            </w:r>
          </w:p>
        </w:tc>
        <w:tc>
          <w:tcPr>
            <w:tcW w:w="13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5</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646.50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4/7/2034</w:t>
            </w:r>
          </w:p>
        </w:tc>
        <w:tc>
          <w:tcPr>
            <w:tcW w:w="122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5</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30</w:t>
            </w: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6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3/29/2023</w:t>
            </w: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13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2</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2,490.00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3/27/2023</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4/28/2022</w:t>
            </w: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108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2/5/2021</w:t>
            </w:r>
          </w:p>
        </w:tc>
        <w:tc>
          <w:tcPr>
            <w:tcW w:w="12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1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252,000.00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2/5/2031</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6/28/2019</w:t>
            </w:r>
          </w:p>
        </w:tc>
        <w:tc>
          <w:tcPr>
            <w:tcW w:w="12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2</w:t>
            </w:r>
          </w:p>
        </w:tc>
        <w:tc>
          <w:tcPr>
            <w:tcW w:w="1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150,000.00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6/28/2029</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6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12/22/2017</w:t>
            </w:r>
          </w:p>
        </w:tc>
        <w:tc>
          <w:tcPr>
            <w:tcW w:w="120" w:type="dxa"/>
            <w:vAlign w:val="bottom"/>
            <w:shd w:val="clear" w:color="auto" w:fill="EEEEEE"/>
          </w:tcPr>
          <w:p>
            <w:pPr>
              <w:spacing w:after="0"/>
              <w:rPr>
                <w:sz w:val="18"/>
                <w:szCs w:val="18"/>
                <w:color w:val="auto"/>
              </w:rPr>
            </w:pPr>
          </w:p>
        </w:tc>
        <w:tc>
          <w:tcPr>
            <w:tcW w:w="11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8"/>
                <w:szCs w:val="18"/>
                <w:color w:val="auto"/>
              </w:rPr>
              <w:t>1</w:t>
            </w:r>
          </w:p>
        </w:tc>
        <w:tc>
          <w:tcPr>
            <w:tcW w:w="1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200"/>
              <w:spacing w:after="0"/>
              <w:rPr>
                <w:sz w:val="20"/>
                <w:szCs w:val="20"/>
                <w:color w:val="auto"/>
              </w:rPr>
            </w:pPr>
            <w:r>
              <w:rPr>
                <w:rFonts w:ascii="Times New Roman" w:cs="Times New Roman" w:eastAsia="Times New Roman" w:hAnsi="Times New Roman"/>
                <w:sz w:val="18"/>
                <w:szCs w:val="18"/>
                <w:color w:val="auto"/>
              </w:rPr>
              <w:t>–</w:t>
            </w: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3,375.00</w:t>
            </w:r>
          </w:p>
        </w:tc>
        <w:tc>
          <w:tcPr>
            <w:tcW w:w="11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12/22/2027</w:t>
            </w:r>
          </w:p>
        </w:tc>
        <w:tc>
          <w:tcPr>
            <w:tcW w:w="10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00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ind w:right="20" w:firstLine="8"/>
        <w:spacing w:after="0" w:line="282" w:lineRule="auto"/>
        <w:tabs>
          <w:tab w:leader="none" w:pos="269"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underlying the options vest in equal annual installments over a four-year period (i.e., one-quarter of each grant vests on the first, second, third and fourth anniversary of the grant date).</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Consists of restricted stock unit awards that vest as follows: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in four (4) equal annual installments over 4 years, provided officer is serving in such position on each vesting date;</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grant the average the closing price of the Company’s common stock over a ten trading day period exceeds $60.00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36 months from grant the average the closing price of the Company’s common stock over a ten trading day period exceeds $120.00 (subject to pro rata adjustment for stock splits or similar events);</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3"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25% of the RSU grant will vest if within 24 months from issuance the Company achieves “Positive Interim, Clinical Data” as defined by the Board of Directors.</w:t>
      </w:r>
    </w:p>
    <w:p>
      <w:pPr>
        <w:spacing w:after="0" w:line="161" w:lineRule="exact"/>
        <w:rPr>
          <w:rFonts w:ascii="Times New Roman" w:cs="Times New Roman" w:eastAsia="Times New Roman" w:hAnsi="Times New Roman"/>
          <w:sz w:val="18"/>
          <w:szCs w:val="18"/>
          <w:color w:val="auto"/>
        </w:rPr>
      </w:pPr>
    </w:p>
    <w:p>
      <w:pPr>
        <w:ind w:left="260" w:hanging="252"/>
        <w:spacing w:after="0"/>
        <w:tabs>
          <w:tab w:leader="none" w:pos="26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the closing price of our common stock on December 31, 2024 of $6.02.</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total compensation earned by our non-employee directors in 2024 (Mr. Climaco did not earn additional compensation during 2024 for his services on the Board, and his compensation is fully reflected in the “—Summary Compensation Table” above):</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7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Fees</w:t>
            </w:r>
          </w:p>
        </w:tc>
        <w:tc>
          <w:tcPr>
            <w:tcW w:w="1260" w:type="dxa"/>
            <w:vAlign w:val="bottom"/>
          </w:tcPr>
          <w:p>
            <w:pPr>
              <w:jc w:val="center"/>
              <w:ind w:left="130"/>
              <w:spacing w:after="0"/>
              <w:rPr>
                <w:sz w:val="20"/>
                <w:szCs w:val="20"/>
                <w:color w:val="auto"/>
              </w:rPr>
            </w:pPr>
            <w:r>
              <w:rPr>
                <w:rFonts w:ascii="Times New Roman" w:cs="Times New Roman" w:eastAsia="Times New Roman" w:hAnsi="Times New Roman"/>
                <w:sz w:val="18"/>
                <w:szCs w:val="18"/>
                <w:b w:val="1"/>
                <w:bCs w:val="1"/>
                <w:color w:val="auto"/>
                <w:w w:val="98"/>
              </w:rPr>
              <w:t>Options</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60" w:type="dxa"/>
            <w:vAlign w:val="bottom"/>
          </w:tcPr>
          <w:p>
            <w:pPr>
              <w:jc w:val="center"/>
              <w:ind w:left="110"/>
              <w:spacing w:after="0"/>
              <w:rPr>
                <w:sz w:val="20"/>
                <w:szCs w:val="20"/>
                <w:color w:val="auto"/>
              </w:rPr>
            </w:pPr>
            <w:r>
              <w:rPr>
                <w:rFonts w:ascii="Times New Roman" w:cs="Times New Roman" w:eastAsia="Times New Roman" w:hAnsi="Times New Roman"/>
                <w:sz w:val="18"/>
                <w:szCs w:val="18"/>
                <w:b w:val="1"/>
                <w:bCs w:val="1"/>
                <w:color w:val="auto"/>
                <w:w w:val="97"/>
              </w:rPr>
              <w:t>Stock</w:t>
            </w:r>
          </w:p>
        </w:tc>
        <w:tc>
          <w:tcPr>
            <w:tcW w:w="2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2"/>
              </w:rPr>
              <w:t>Total</w:t>
            </w:r>
          </w:p>
        </w:tc>
      </w:tr>
      <w:tr>
        <w:trPr>
          <w:trHeight w:val="238"/>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 (1)</w:t>
            </w:r>
          </w:p>
        </w:tc>
        <w:tc>
          <w:tcPr>
            <w:tcW w:w="17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 xml:space="preserve">earned or paid </w:t>
            </w:r>
            <w:r>
              <w:rPr>
                <w:rFonts w:ascii="Times New Roman" w:cs="Times New Roman" w:eastAsia="Times New Roman" w:hAnsi="Times New Roman"/>
                <w:sz w:val="18"/>
                <w:szCs w:val="18"/>
                <w:b w:val="1"/>
                <w:bCs w:val="1"/>
                <w:u w:val="single" w:color="auto"/>
                <w:color w:val="auto"/>
              </w:rPr>
              <w:t>($</w:t>
            </w:r>
            <w:r>
              <w:rPr>
                <w:rFonts w:ascii="Times New Roman" w:cs="Times New Roman" w:eastAsia="Times New Roman" w:hAnsi="Times New Roman"/>
                <w:sz w:val="18"/>
                <w:szCs w:val="18"/>
                <w:b w:val="1"/>
                <w:bCs w:val="1"/>
                <w:color w:val="auto"/>
              </w:rPr>
              <w:t>)</w:t>
            </w:r>
          </w:p>
        </w:tc>
        <w:tc>
          <w:tcPr>
            <w:tcW w:w="1260" w:type="dxa"/>
            <w:vAlign w:val="bottom"/>
          </w:tcPr>
          <w:p>
            <w:pPr>
              <w:jc w:val="center"/>
              <w:ind w:left="130"/>
              <w:spacing w:after="0"/>
              <w:rPr>
                <w:sz w:val="20"/>
                <w:szCs w:val="20"/>
                <w:color w:val="auto"/>
              </w:rPr>
            </w:pPr>
            <w:r>
              <w:rPr>
                <w:rFonts w:ascii="Times New Roman" w:cs="Times New Roman" w:eastAsia="Times New Roman" w:hAnsi="Times New Roman"/>
                <w:sz w:val="18"/>
                <w:szCs w:val="18"/>
                <w:b w:val="1"/>
                <w:bCs w:val="1"/>
                <w:color w:val="auto"/>
                <w:w w:val="98"/>
              </w:rPr>
              <w:t>Awards ($)</w:t>
            </w:r>
          </w:p>
        </w:tc>
        <w:tc>
          <w:tcPr>
            <w:tcW w:w="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260" w:type="dxa"/>
            <w:vAlign w:val="bottom"/>
          </w:tcPr>
          <w:p>
            <w:pPr>
              <w:jc w:val="center"/>
              <w:ind w:left="90"/>
              <w:spacing w:after="0"/>
              <w:rPr>
                <w:sz w:val="20"/>
                <w:szCs w:val="20"/>
                <w:color w:val="auto"/>
              </w:rPr>
            </w:pPr>
            <w:r>
              <w:rPr>
                <w:rFonts w:ascii="Times New Roman" w:cs="Times New Roman" w:eastAsia="Times New Roman" w:hAnsi="Times New Roman"/>
                <w:sz w:val="18"/>
                <w:szCs w:val="18"/>
                <w:b w:val="1"/>
                <w:bCs w:val="1"/>
                <w:color w:val="auto"/>
                <w:w w:val="98"/>
              </w:rPr>
              <w:t>Awards ($)</w:t>
            </w:r>
          </w:p>
        </w:tc>
        <w:tc>
          <w:tcPr>
            <w:tcW w:w="2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56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Total ($)</w:t>
            </w:r>
          </w:p>
        </w:tc>
      </w:tr>
      <w:tr>
        <w:trPr>
          <w:trHeight w:val="209"/>
        </w:trPr>
        <w:tc>
          <w:tcPr>
            <w:tcW w:w="450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120" w:type="dxa"/>
            <w:vAlign w:val="bottom"/>
            <w:tcBorders>
              <w:top w:val="single" w:sz="8" w:color="EEEEEE"/>
            </w:tcBorders>
            <w:shd w:val="clear" w:color="auto" w:fill="EEEEEE"/>
          </w:tcPr>
          <w:p>
            <w:pPr>
              <w:spacing w:after="0"/>
              <w:rPr>
                <w:sz w:val="18"/>
                <w:szCs w:val="18"/>
                <w:color w:val="auto"/>
              </w:rPr>
            </w:pPr>
          </w:p>
        </w:tc>
        <w:tc>
          <w:tcPr>
            <w:tcW w:w="14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78,882</w:t>
            </w:r>
          </w:p>
        </w:tc>
        <w:tc>
          <w:tcPr>
            <w:tcW w:w="240" w:type="dxa"/>
            <w:vAlign w:val="bottom"/>
            <w:tcBorders>
              <w:top w:val="single" w:sz="8" w:color="EEEEEE"/>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auto"/>
            </w:tcBorders>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w w:val="88"/>
              </w:rPr>
              <w:t>–</w:t>
            </w:r>
          </w:p>
        </w:tc>
        <w:tc>
          <w:tcPr>
            <w:tcW w:w="200" w:type="dxa"/>
            <w:vAlign w:val="bottom"/>
            <w:tcBorders>
              <w:top w:val="single" w:sz="8" w:color="EEEEEE"/>
            </w:tcBorders>
            <w:shd w:val="clear" w:color="auto" w:fill="EEEEEE"/>
          </w:tcPr>
          <w:p>
            <w:pPr>
              <w:spacing w:after="0"/>
              <w:rPr>
                <w:sz w:val="18"/>
                <w:szCs w:val="18"/>
                <w:color w:val="auto"/>
              </w:rPr>
            </w:pPr>
          </w:p>
        </w:tc>
        <w:tc>
          <w:tcPr>
            <w:tcW w:w="1260" w:type="dxa"/>
            <w:vAlign w:val="bottom"/>
            <w:tcBorders>
              <w:top w:val="single" w:sz="8" w:color="auto"/>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w w:val="88"/>
              </w:rPr>
              <w:t>–</w:t>
            </w:r>
          </w:p>
        </w:tc>
        <w:tc>
          <w:tcPr>
            <w:tcW w:w="200" w:type="dxa"/>
            <w:vAlign w:val="bottom"/>
            <w:tcBorders>
              <w:top w:val="single" w:sz="8" w:color="EEEEEE"/>
            </w:tcBorders>
            <w:shd w:val="clear" w:color="auto" w:fill="EEEEEE"/>
          </w:tcPr>
          <w:p>
            <w:pPr>
              <w:spacing w:after="0"/>
              <w:rPr>
                <w:sz w:val="18"/>
                <w:szCs w:val="18"/>
                <w:color w:val="auto"/>
              </w:rPr>
            </w:pP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78,882</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 Keyes</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59,750</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59,750</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52,875</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52,875</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Jerzy Gumulka</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50,925</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50,925</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Carl Evans</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15,290</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15,290</w:t>
            </w:r>
          </w:p>
        </w:tc>
      </w:tr>
      <w:tr>
        <w:trPr>
          <w:trHeight w:val="216"/>
        </w:trPr>
        <w:tc>
          <w:tcPr>
            <w:tcW w:w="46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Andy Andraczke</w:t>
            </w:r>
          </w:p>
        </w:tc>
        <w:tc>
          <w:tcPr>
            <w:tcW w:w="172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11,375</w:t>
            </w:r>
          </w:p>
        </w:tc>
        <w:tc>
          <w:tcPr>
            <w:tcW w:w="1260" w:type="dxa"/>
            <w:vAlign w:val="bottom"/>
          </w:tcPr>
          <w:p>
            <w:pPr>
              <w:spacing w:after="0"/>
              <w:rPr>
                <w:sz w:val="18"/>
                <w:szCs w:val="18"/>
                <w:color w:val="auto"/>
              </w:rPr>
            </w:pPr>
          </w:p>
        </w:tc>
        <w:tc>
          <w:tcPr>
            <w:tcW w:w="1680" w:type="dxa"/>
            <w:vAlign w:val="bottom"/>
            <w:gridSpan w:val="3"/>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11,375</w:t>
            </w:r>
          </w:p>
        </w:tc>
      </w:tr>
      <w:tr>
        <w:trPr>
          <w:trHeight w:val="216"/>
        </w:trPr>
        <w:tc>
          <w:tcPr>
            <w:tcW w:w="46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Amy Mahery</w:t>
            </w:r>
          </w:p>
        </w:tc>
        <w:tc>
          <w:tcPr>
            <w:tcW w:w="1720" w:type="dxa"/>
            <w:vAlign w:val="bottom"/>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46,828</w:t>
            </w:r>
          </w:p>
        </w:tc>
        <w:tc>
          <w:tcPr>
            <w:tcW w:w="126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400" w:type="dxa"/>
            <w:vAlign w:val="bottom"/>
            <w:gridSpan w:val="2"/>
            <w:shd w:val="clear" w:color="auto" w:fill="EEEEEE"/>
          </w:tcPr>
          <w:p>
            <w:pPr>
              <w:ind w:left="100"/>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46,828</w:t>
            </w:r>
          </w:p>
        </w:tc>
      </w:tr>
    </w:tbl>
    <w:p>
      <w:pPr>
        <w:spacing w:after="0" w:line="198" w:lineRule="exact"/>
        <w:rPr>
          <w:sz w:val="20"/>
          <w:szCs w:val="20"/>
          <w:color w:val="auto"/>
        </w:rPr>
      </w:pPr>
    </w:p>
    <w:p>
      <w:pPr>
        <w:jc w:val="both"/>
        <w:ind w:firstLine="8"/>
        <w:spacing w:after="0" w:line="258" w:lineRule="auto"/>
        <w:tabs>
          <w:tab w:leader="none" w:pos="265"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December 31, 2024, the aggregate number of shares outstanding under all options to purchase our common stock and stock awards held by our non-employee directors were: Dr. Gumulka – 13 shares underlying options and 7 shares underlying restricted stock units; Mr. Keyes – 26 shares underlying options and 7 shares underlying restricted stock units; Ms. Charles – 19 shares underlying options and 7 shares underlying restricted stock units; Ms. Cockroft – 13 shares underlying options and 7 shares underlying restricted stock units; and Ms. Mahery – 8 shares underlying options and 7 shares underlying restricted stock units.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March 2024, our compensation committee recommended to our Board and our Board approved the following policy to become effective April 1, 2024 for compensating non-employee members of the Board. Each independent director shall receive annual cash compensation of $40,000. In addition, the chairperson of the Audit Committee, Compensation Committee and Nominating and Governance Committee shall receive an annual compensation of $15,000, $12,000 and $8,000, respectively; the other members of such committees shall receive an annual compensation of $7,500, $6,000 and $4,000, respectively; and the Chair of the Board of Directors shall receive annual compensation of $30,000. In addition, each Outside Director shall receive $2,500 attendance at face-to-face board meetings (no compensation for telephonic or video-conference meetings).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Recoupment Policy</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adopted the CNS Pharmaceuticals, Inc. Dodd-Frank Restatement Recoupment Policy effective as of October 2, 2023. In the event that we are required to prepare a financial restatement, the Committee will recoup all erroneously awarded incentive-based compensation calculated on a pre-tax basis received after October 2, 2023, by a person (i) after beginning service as an executive officer, (ii) who served as an executive officer at any time during the performance period for that incentive-based compensation, and (iii) during the three completed fiscal years immediately preceding the date that the Company is required to prepare a restatement, and any transition period (that results from a change in the Company’s fiscal year) of less than nine months within or immediately following those three completed fiscal years. “Clawback” or recoupment policy in our executive compensation program contributes to creating and maintaining a culture that emphasizes integrity and accountability and reinforces the performance-based principles underlying our executive compensation program.</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Granting of Certain Equity Awards Close in Time to the Release of Material Nonpublic Information</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do not grant equity awards in anticipation of the release of material nonpublic information that is likely to result in changes to the price of our common stock, and do not time the public release of such information based on award grant dates. During the last completed fiscal year, we have not made awards to any named executive officer or director during the period beginning four business days before and ending one business day after the filing of a period report on Form 10-Q or Form 10-K or the filing or furnishing of a current report on Form 8-K, and we have not timed the disclosure of material nonpublic information for the purpose of affecting the value of executive compensation.</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12.</w:t>
      </w:r>
      <w:r>
        <w:rPr>
          <w:sz w:val="20"/>
          <w:szCs w:val="20"/>
          <w:color w:val="auto"/>
        </w:rPr>
        <w:tab/>
      </w:r>
      <w:r>
        <w:rPr>
          <w:rFonts w:ascii="Times New Roman" w:cs="Times New Roman" w:eastAsia="Times New Roman" w:hAnsi="Times New Roman"/>
          <w:sz w:val="17"/>
          <w:szCs w:val="17"/>
          <w:b w:val="1"/>
          <w:bCs w:val="1"/>
          <w:color w:val="auto"/>
        </w:rPr>
        <w:t>Security Ownership of Certain Beneficial Owners and Management and Related Stockholder Matters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information, as of April 11, 2025, regarding beneficial ownership of our common stock by:</w:t>
      </w:r>
    </w:p>
    <w:p>
      <w:pPr>
        <w:spacing w:after="0" w:line="225" w:lineRule="exact"/>
        <w:rPr>
          <w:sz w:val="20"/>
          <w:szCs w:val="20"/>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directors;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of our named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directors and officers as a group;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each person, or group of affiliated persons, known by us to beneficially own more than five percent of our shares of common stock.</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Beneficial ownership is determined according to the rules of the SEC, and generally means that person has beneficial ownership of a security if he or she possesses sole or shared voting or investment power of that security and includes options that are currently exercisable or exercisable within 60 days. Each director or officer, as the case may be, has furnished us with information with respect to beneficial ownership. Except as otherwise indicated, we believe that the beneficial owners of common stock listed below, based on the information each of them has given to us, have sole investment and voting power with respect to their shares, except where community property laws may apply. Except as otherwise noted below, the address for each person or entity listed in the table is c/o CNS Pharmaceuticals, Inc., 2100 West Loop South, Suite 900, Houston, TX 77027.</w:t>
      </w:r>
    </w:p>
    <w:p>
      <w:pPr>
        <w:spacing w:after="0" w:line="18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3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4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Shares Beneficially</w:t>
            </w:r>
          </w:p>
        </w:tc>
        <w:tc>
          <w:tcPr>
            <w:tcW w:w="2340" w:type="dxa"/>
            <w:vAlign w:val="bottom"/>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 xml:space="preserve">Percentage of Class </w:t>
            </w:r>
            <w:r>
              <w:rPr>
                <w:rFonts w:ascii="Times New Roman" w:cs="Times New Roman" w:eastAsia="Times New Roman" w:hAnsi="Times New Roman"/>
                <w:sz w:val="29"/>
                <w:szCs w:val="29"/>
                <w:b w:val="1"/>
                <w:bCs w:val="1"/>
                <w:color w:val="auto"/>
                <w:w w:val="97"/>
                <w:vertAlign w:val="superscript"/>
              </w:rPr>
              <w:t>(1)</w:t>
            </w:r>
          </w:p>
        </w:tc>
        <w:tc>
          <w:tcPr>
            <w:tcW w:w="0" w:type="dxa"/>
            <w:vAlign w:val="bottom"/>
          </w:tcPr>
          <w:p>
            <w:pPr>
              <w:spacing w:after="0"/>
              <w:rPr>
                <w:sz w:val="1"/>
                <w:szCs w:val="1"/>
                <w:color w:val="auto"/>
              </w:rPr>
            </w:pPr>
          </w:p>
        </w:tc>
      </w:tr>
      <w:tr>
        <w:trPr>
          <w:trHeight w:val="238"/>
        </w:trPr>
        <w:tc>
          <w:tcPr>
            <w:tcW w:w="630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Name and address of beneficial owner</w:t>
            </w:r>
          </w:p>
        </w:tc>
        <w:tc>
          <w:tcPr>
            <w:tcW w:w="120" w:type="dxa"/>
            <w:vAlign w:val="bottom"/>
            <w:tcBorders>
              <w:bottom w:val="single" w:sz="8" w:color="EEEEEE"/>
            </w:tcBorders>
          </w:tcPr>
          <w:p>
            <w:pPr>
              <w:spacing w:after="0"/>
              <w:rPr>
                <w:sz w:val="20"/>
                <w:szCs w:val="20"/>
                <w:color w:val="auto"/>
              </w:rPr>
            </w:pPr>
          </w:p>
        </w:tc>
        <w:tc>
          <w:tcPr>
            <w:tcW w:w="236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Owned</w:t>
            </w:r>
          </w:p>
        </w:tc>
        <w:tc>
          <w:tcPr>
            <w:tcW w:w="120" w:type="dxa"/>
            <w:vAlign w:val="bottom"/>
            <w:tcBorders>
              <w:bottom w:val="single" w:sz="8" w:color="EEEEEE"/>
            </w:tcBorders>
          </w:tcPr>
          <w:p>
            <w:pPr>
              <w:spacing w:after="0"/>
              <w:rPr>
                <w:sz w:val="20"/>
                <w:szCs w:val="20"/>
                <w:color w:val="auto"/>
              </w:rPr>
            </w:pPr>
          </w:p>
        </w:tc>
        <w:tc>
          <w:tcPr>
            <w:tcW w:w="2340" w:type="dxa"/>
            <w:vAlign w:val="bottom"/>
            <w:tcBorders>
              <w:bottom w:val="single" w:sz="8" w:color="auto"/>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250"/>
        </w:trPr>
        <w:tc>
          <w:tcPr>
            <w:tcW w:w="6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John Climaco</w:t>
            </w:r>
          </w:p>
        </w:tc>
        <w:tc>
          <w:tcPr>
            <w:tcW w:w="2360" w:type="dxa"/>
            <w:vAlign w:val="bottom"/>
            <w:shd w:val="clear" w:color="auto" w:fill="EEEEEE"/>
          </w:tcPr>
          <w:p>
            <w:pPr>
              <w:jc w:val="center"/>
              <w:spacing w:after="0" w:line="250" w:lineRule="exact"/>
              <w:rPr>
                <w:sz w:val="20"/>
                <w:szCs w:val="20"/>
                <w:color w:val="auto"/>
              </w:rPr>
            </w:pPr>
            <w:r>
              <w:rPr>
                <w:rFonts w:ascii="Times New Roman" w:cs="Times New Roman" w:eastAsia="Times New Roman" w:hAnsi="Times New Roman"/>
                <w:sz w:val="28"/>
                <w:szCs w:val="28"/>
                <w:color w:val="auto"/>
                <w:vertAlign w:val="subscript"/>
              </w:rPr>
              <w:t>268</w:t>
            </w:r>
            <w:r>
              <w:rPr>
                <w:rFonts w:ascii="Times New Roman" w:cs="Times New Roman" w:eastAsia="Times New Roman" w:hAnsi="Times New Roman"/>
                <w:sz w:val="13"/>
                <w:szCs w:val="13"/>
                <w:color w:val="auto"/>
              </w:rPr>
              <w:t xml:space="preserve"> (2)(3)</w:t>
            </w:r>
          </w:p>
        </w:tc>
        <w:tc>
          <w:tcPr>
            <w:tcW w:w="120" w:type="dxa"/>
            <w:vAlign w:val="bottom"/>
            <w:shd w:val="clear" w:color="auto" w:fill="EEEEEE"/>
          </w:tcPr>
          <w:p>
            <w:pPr>
              <w:spacing w:after="0"/>
              <w:rPr>
                <w:sz w:val="21"/>
                <w:szCs w:val="21"/>
                <w:color w:val="auto"/>
              </w:rPr>
            </w:pP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7"/>
        </w:trPr>
        <w:tc>
          <w:tcPr>
            <w:tcW w:w="6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Christopher S. Downs</w:t>
            </w:r>
          </w:p>
        </w:tc>
        <w:tc>
          <w:tcPr>
            <w:tcW w:w="23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112</w:t>
            </w:r>
            <w:r>
              <w:rPr>
                <w:rFonts w:ascii="Times New Roman" w:cs="Times New Roman" w:eastAsia="Times New Roman" w:hAnsi="Times New Roman"/>
                <w:sz w:val="13"/>
                <w:szCs w:val="13"/>
                <w:color w:val="auto"/>
              </w:rPr>
              <w:t xml:space="preserve"> (2)(4)</w:t>
            </w:r>
          </w:p>
        </w:tc>
        <w:tc>
          <w:tcPr>
            <w:tcW w:w="120" w:type="dxa"/>
            <w:vAlign w:val="bottom"/>
          </w:tcPr>
          <w:p>
            <w:pPr>
              <w:spacing w:after="0"/>
              <w:rPr>
                <w:sz w:val="22"/>
                <w:szCs w:val="22"/>
                <w:color w:val="auto"/>
              </w:rPr>
            </w:pP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7"/>
        </w:trPr>
        <w:tc>
          <w:tcPr>
            <w:tcW w:w="6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Sandra Silberman</w:t>
            </w:r>
          </w:p>
        </w:tc>
        <w:tc>
          <w:tcPr>
            <w:tcW w:w="23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11</w:t>
            </w:r>
            <w:r>
              <w:rPr>
                <w:rFonts w:ascii="Times New Roman" w:cs="Times New Roman" w:eastAsia="Times New Roman" w:hAnsi="Times New Roman"/>
                <w:sz w:val="13"/>
                <w:szCs w:val="13"/>
                <w:color w:val="auto"/>
              </w:rPr>
              <w:t xml:space="preserve"> (2)(5)</w:t>
            </w:r>
          </w:p>
        </w:tc>
        <w:tc>
          <w:tcPr>
            <w:tcW w:w="120" w:type="dxa"/>
            <w:vAlign w:val="bottom"/>
            <w:shd w:val="clear" w:color="auto" w:fill="EEEEEE"/>
          </w:tcPr>
          <w:p>
            <w:pPr>
              <w:spacing w:after="0"/>
              <w:rPr>
                <w:sz w:val="22"/>
                <w:szCs w:val="22"/>
                <w:color w:val="auto"/>
              </w:rPr>
            </w:pP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7"/>
        </w:trPr>
        <w:tc>
          <w:tcPr>
            <w:tcW w:w="6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Faith Charles</w:t>
            </w:r>
          </w:p>
        </w:tc>
        <w:tc>
          <w:tcPr>
            <w:tcW w:w="23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26</w:t>
            </w:r>
            <w:r>
              <w:rPr>
                <w:rFonts w:ascii="Times New Roman" w:cs="Times New Roman" w:eastAsia="Times New Roman" w:hAnsi="Times New Roman"/>
                <w:sz w:val="13"/>
                <w:szCs w:val="13"/>
                <w:color w:val="auto"/>
              </w:rPr>
              <w:t xml:space="preserve"> (6)</w:t>
            </w:r>
          </w:p>
        </w:tc>
        <w:tc>
          <w:tcPr>
            <w:tcW w:w="120" w:type="dxa"/>
            <w:vAlign w:val="bottom"/>
          </w:tcPr>
          <w:p>
            <w:pPr>
              <w:spacing w:after="0"/>
              <w:rPr>
                <w:sz w:val="22"/>
                <w:szCs w:val="22"/>
                <w:color w:val="auto"/>
              </w:rPr>
            </w:pP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6"/>
        </w:trPr>
        <w:tc>
          <w:tcPr>
            <w:tcW w:w="6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Jerzy (George) Gumulka</w:t>
            </w:r>
          </w:p>
        </w:tc>
        <w:tc>
          <w:tcPr>
            <w:tcW w:w="23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77</w:t>
            </w:r>
            <w:r>
              <w:rPr>
                <w:rFonts w:ascii="Times New Roman" w:cs="Times New Roman" w:eastAsia="Times New Roman" w:hAnsi="Times New Roman"/>
                <w:sz w:val="13"/>
                <w:szCs w:val="13"/>
                <w:color w:val="auto"/>
              </w:rPr>
              <w:t xml:space="preserve"> (7)</w:t>
            </w:r>
          </w:p>
        </w:tc>
        <w:tc>
          <w:tcPr>
            <w:tcW w:w="120" w:type="dxa"/>
            <w:vAlign w:val="bottom"/>
            <w:shd w:val="clear" w:color="auto" w:fill="EEEEEE"/>
          </w:tcPr>
          <w:p>
            <w:pPr>
              <w:spacing w:after="0"/>
              <w:rPr>
                <w:sz w:val="22"/>
                <w:szCs w:val="22"/>
                <w:color w:val="auto"/>
              </w:rPr>
            </w:pP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6"/>
        </w:trPr>
        <w:tc>
          <w:tcPr>
            <w:tcW w:w="6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Jeffry R. Keyes</w:t>
            </w:r>
          </w:p>
        </w:tc>
        <w:tc>
          <w:tcPr>
            <w:tcW w:w="23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33</w:t>
            </w:r>
            <w:r>
              <w:rPr>
                <w:rFonts w:ascii="Times New Roman" w:cs="Times New Roman" w:eastAsia="Times New Roman" w:hAnsi="Times New Roman"/>
                <w:sz w:val="13"/>
                <w:szCs w:val="13"/>
                <w:color w:val="auto"/>
              </w:rPr>
              <w:t xml:space="preserve"> (8)</w:t>
            </w:r>
          </w:p>
        </w:tc>
        <w:tc>
          <w:tcPr>
            <w:tcW w:w="120" w:type="dxa"/>
            <w:vAlign w:val="bottom"/>
          </w:tcPr>
          <w:p>
            <w:pPr>
              <w:spacing w:after="0"/>
              <w:rPr>
                <w:sz w:val="22"/>
                <w:szCs w:val="22"/>
                <w:color w:val="auto"/>
              </w:rPr>
            </w:pP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7"/>
        </w:trPr>
        <w:tc>
          <w:tcPr>
            <w:tcW w:w="6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Bettina Cockroft</w:t>
            </w:r>
          </w:p>
        </w:tc>
        <w:tc>
          <w:tcPr>
            <w:tcW w:w="2360" w:type="dxa"/>
            <w:vAlign w:val="bottom"/>
            <w:shd w:val="clear" w:color="auto" w:fill="EEEEEE"/>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20</w:t>
            </w:r>
            <w:r>
              <w:rPr>
                <w:rFonts w:ascii="Times New Roman" w:cs="Times New Roman" w:eastAsia="Times New Roman" w:hAnsi="Times New Roman"/>
                <w:sz w:val="13"/>
                <w:szCs w:val="13"/>
                <w:color w:val="auto"/>
              </w:rPr>
              <w:t xml:space="preserve"> (9)</w:t>
            </w:r>
          </w:p>
        </w:tc>
        <w:tc>
          <w:tcPr>
            <w:tcW w:w="120" w:type="dxa"/>
            <w:vAlign w:val="bottom"/>
            <w:shd w:val="clear" w:color="auto" w:fill="EEEEEE"/>
          </w:tcPr>
          <w:p>
            <w:pPr>
              <w:spacing w:after="0"/>
              <w:rPr>
                <w:sz w:val="22"/>
                <w:szCs w:val="22"/>
                <w:color w:val="auto"/>
              </w:rPr>
            </w:pP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56"/>
        </w:trPr>
        <w:tc>
          <w:tcPr>
            <w:tcW w:w="64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Amy Mahery</w:t>
            </w:r>
          </w:p>
        </w:tc>
        <w:tc>
          <w:tcPr>
            <w:tcW w:w="2360" w:type="dxa"/>
            <w:vAlign w:val="bottom"/>
          </w:tcPr>
          <w:p>
            <w:pPr>
              <w:jc w:val="center"/>
              <w:spacing w:after="0" w:line="256" w:lineRule="exact"/>
              <w:rPr>
                <w:sz w:val="20"/>
                <w:szCs w:val="20"/>
                <w:color w:val="auto"/>
              </w:rPr>
            </w:pPr>
            <w:r>
              <w:rPr>
                <w:rFonts w:ascii="Times New Roman" w:cs="Times New Roman" w:eastAsia="Times New Roman" w:hAnsi="Times New Roman"/>
                <w:sz w:val="29"/>
                <w:szCs w:val="29"/>
                <w:color w:val="auto"/>
                <w:vertAlign w:val="subscript"/>
              </w:rPr>
              <w:t>15</w:t>
            </w:r>
            <w:r>
              <w:rPr>
                <w:rFonts w:ascii="Times New Roman" w:cs="Times New Roman" w:eastAsia="Times New Roman" w:hAnsi="Times New Roman"/>
                <w:sz w:val="13"/>
                <w:szCs w:val="13"/>
                <w:color w:val="auto"/>
              </w:rPr>
              <w:t xml:space="preserve"> (10)</w:t>
            </w:r>
          </w:p>
        </w:tc>
        <w:tc>
          <w:tcPr>
            <w:tcW w:w="120" w:type="dxa"/>
            <w:vAlign w:val="bottom"/>
          </w:tcPr>
          <w:p>
            <w:pPr>
              <w:spacing w:after="0"/>
              <w:rPr>
                <w:sz w:val="22"/>
                <w:szCs w:val="22"/>
                <w:color w:val="auto"/>
              </w:rPr>
            </w:pPr>
          </w:p>
        </w:tc>
        <w:tc>
          <w:tcPr>
            <w:tcW w:w="23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64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Directors and Officers as a group (11 persons)</w:t>
            </w:r>
          </w:p>
        </w:tc>
        <w:tc>
          <w:tcPr>
            <w:tcW w:w="2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rPr>
              <w:t>562</w:t>
            </w:r>
          </w:p>
        </w:tc>
        <w:tc>
          <w:tcPr>
            <w:tcW w:w="120" w:type="dxa"/>
            <w:vAlign w:val="bottom"/>
            <w:shd w:val="clear" w:color="auto" w:fill="EEEEEE"/>
          </w:tcPr>
          <w:p>
            <w:pPr>
              <w:spacing w:after="0"/>
              <w:rPr>
                <w:sz w:val="18"/>
                <w:szCs w:val="18"/>
                <w:color w:val="auto"/>
              </w:rPr>
            </w:pPr>
          </w:p>
        </w:tc>
        <w:tc>
          <w:tcPr>
            <w:tcW w:w="234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b w:val="1"/>
                <w:bCs w:val="1"/>
                <w:color w:val="auto"/>
              </w:rPr>
              <w:t>*</w:t>
            </w:r>
          </w:p>
        </w:tc>
        <w:tc>
          <w:tcPr>
            <w:tcW w:w="0" w:type="dxa"/>
            <w:vAlign w:val="bottom"/>
          </w:tcPr>
          <w:p>
            <w:pPr>
              <w:spacing w:after="0"/>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Less than 1%.</w:t>
      </w:r>
    </w:p>
    <w:p>
      <w:pPr>
        <w:spacing w:after="0" w:line="225" w:lineRule="exact"/>
        <w:rPr>
          <w:sz w:val="20"/>
          <w:szCs w:val="20"/>
          <w:color w:val="auto"/>
        </w:rPr>
      </w:pPr>
    </w:p>
    <w:p>
      <w:pPr>
        <w:ind w:left="260" w:hanging="252"/>
        <w:spacing w:after="0"/>
        <w:tabs>
          <w:tab w:leader="none" w:pos="2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2,944,381 shares of common stock outstanding as of April 11, 2025.</w:t>
      </w:r>
    </w:p>
    <w:p>
      <w:pPr>
        <w:spacing w:after="0" w:line="225" w:lineRule="exact"/>
        <w:rPr>
          <w:rFonts w:ascii="Times New Roman" w:cs="Times New Roman" w:eastAsia="Times New Roman" w:hAnsi="Times New Roman"/>
          <w:sz w:val="18"/>
          <w:szCs w:val="18"/>
          <w:color w:val="auto"/>
        </w:rPr>
      </w:pPr>
    </w:p>
    <w:p>
      <w:pPr>
        <w:jc w:val="both"/>
        <w:ind w:firstLine="8"/>
        <w:spacing w:after="0" w:line="261" w:lineRule="auto"/>
        <w:tabs>
          <w:tab w:leader="none" w:pos="256"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restricted stock units granted to Mr. Climaco, Mr. Downs and Dr. Silberman vest, in part, on the achievement of certain stock price and clinical trial milestones. For purposes of the above table, we have assume that the foregoing milestones have not been achieved until such time as the board of directors makes a determination that they have been achieved. See “Item 11. Executive Compensation – Executive Officer Compensation – Narrative Disclosure to Summary Compensation Table – Long-Term Incentives” for details on the foregoing restricted stock unit grants.</w:t>
      </w:r>
    </w:p>
    <w:p>
      <w:pPr>
        <w:spacing w:after="0" w:line="179" w:lineRule="exact"/>
        <w:rPr>
          <w:rFonts w:ascii="Times New Roman" w:cs="Times New Roman" w:eastAsia="Times New Roman" w:hAnsi="Times New Roman"/>
          <w:sz w:val="18"/>
          <w:szCs w:val="18"/>
          <w:color w:val="auto"/>
        </w:rPr>
      </w:pPr>
    </w:p>
    <w:p>
      <w:pPr>
        <w:ind w:firstLine="8"/>
        <w:spacing w:after="0" w:line="282" w:lineRule="auto"/>
        <w:tabs>
          <w:tab w:leader="none" w:pos="268"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134 shares of common stock which are exercisable within 60 days of April 11, 2025, options to purchase 33 shares of common stock which are exercisable within 60 days of April 11, 2025 and 4 restricted stock units which have vested by April 11, 2025.</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ind w:firstLine="8"/>
        <w:spacing w:after="0" w:line="282" w:lineRule="auto"/>
        <w:tabs>
          <w:tab w:leader="none" w:pos="272"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54 shares of common stock which are exercisable within 60 days of April 11, 2025, options to purchase 17 shares of common stock which are exercisable within 60 days of April 11, 2025 and 4 restricted stock units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10 shares of common stock which are exercisable within 60 days of April 11, 2025 and 1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19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2"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warrants to purchase 28 shares of common stock which are exercisable within 60 days of April 11, 2025, options to purchase 19 shares of common stock which are exercisable within 60 days of April 11, 2025 and 7 restricted stock units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26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13 shares of common stock which are exercisable within 60 days of April 11, 2025 and 7 restricted stock unit which have vested by April 11, 2025.</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35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options to purchase 8 shares of common stock which are exercisable within 60 days of April 11, 2025 and 7 restricted stock unit which have vested by April 11, 2025.</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Securities Authorized for Issuance under Equity Compensation Plans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following table sets forth information regarding our equity compensation plans at December 31, 2024:</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Number of</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securities (by class)</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remaining available</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Number of</w:t>
            </w: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for future issuance</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securities to be</w:t>
            </w:r>
          </w:p>
        </w:tc>
        <w:tc>
          <w:tcPr>
            <w:tcW w:w="10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under equity</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issued upon exercise</w:t>
            </w:r>
          </w:p>
        </w:tc>
        <w:tc>
          <w:tcPr>
            <w:tcW w:w="100" w:type="dxa"/>
            <w:vAlign w:val="bottom"/>
          </w:tcPr>
          <w:p>
            <w:pPr>
              <w:spacing w:after="0"/>
              <w:rPr>
                <w:sz w:val="18"/>
                <w:szCs w:val="18"/>
                <w:color w:val="auto"/>
              </w:rPr>
            </w:pPr>
          </w:p>
        </w:tc>
        <w:tc>
          <w:tcPr>
            <w:tcW w:w="16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8"/>
              </w:rPr>
              <w:t>Weighted-average</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compensation</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of outstanding</w:t>
            </w:r>
          </w:p>
        </w:tc>
        <w:tc>
          <w:tcPr>
            <w:tcW w:w="100" w:type="dxa"/>
            <w:vAlign w:val="bottom"/>
          </w:tcPr>
          <w:p>
            <w:pPr>
              <w:spacing w:after="0"/>
              <w:rPr>
                <w:sz w:val="18"/>
                <w:szCs w:val="18"/>
                <w:color w:val="auto"/>
              </w:rPr>
            </w:pPr>
          </w:p>
        </w:tc>
        <w:tc>
          <w:tcPr>
            <w:tcW w:w="1680" w:type="dxa"/>
            <w:vAlign w:val="bottom"/>
            <w:gridSpan w:val="2"/>
          </w:tcPr>
          <w:p>
            <w:pPr>
              <w:jc w:val="center"/>
              <w:ind w:right="320"/>
              <w:spacing w:after="0"/>
              <w:rPr>
                <w:sz w:val="20"/>
                <w:szCs w:val="20"/>
                <w:color w:val="auto"/>
              </w:rPr>
            </w:pPr>
            <w:r>
              <w:rPr>
                <w:rFonts w:ascii="Times New Roman" w:cs="Times New Roman" w:eastAsia="Times New Roman" w:hAnsi="Times New Roman"/>
                <w:sz w:val="18"/>
                <w:szCs w:val="18"/>
                <w:b w:val="1"/>
                <w:bCs w:val="1"/>
                <w:color w:val="auto"/>
              </w:rPr>
              <w:t>exercise price of</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rPr>
              <w:t>plans (excluding</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options,</w:t>
            </w:r>
          </w:p>
        </w:tc>
        <w:tc>
          <w:tcPr>
            <w:tcW w:w="178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outstanding options,</w:t>
            </w:r>
          </w:p>
        </w:tc>
        <w:tc>
          <w:tcPr>
            <w:tcW w:w="168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8"/>
              </w:rPr>
              <w:t>securities reflected</w:t>
            </w:r>
          </w:p>
        </w:tc>
      </w:tr>
      <w:tr>
        <w:trPr>
          <w:trHeight w:val="216"/>
        </w:trPr>
        <w:tc>
          <w:tcPr>
            <w:tcW w:w="58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warrants and rights</w:t>
            </w:r>
          </w:p>
        </w:tc>
        <w:tc>
          <w:tcPr>
            <w:tcW w:w="178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warrants and rights</w:t>
            </w: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in column (a))</w:t>
            </w:r>
          </w:p>
        </w:tc>
      </w:tr>
      <w:tr>
        <w:trPr>
          <w:trHeight w:val="238"/>
        </w:trPr>
        <w:tc>
          <w:tcPr>
            <w:tcW w:w="598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Plan category</w:t>
            </w: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(a)</w:t>
            </w:r>
          </w:p>
        </w:tc>
        <w:tc>
          <w:tcPr>
            <w:tcW w:w="100" w:type="dxa"/>
            <w:vAlign w:val="bottom"/>
          </w:tcPr>
          <w:p>
            <w:pPr>
              <w:spacing w:after="0"/>
              <w:rPr>
                <w:sz w:val="20"/>
                <w:szCs w:val="20"/>
                <w:color w:val="auto"/>
              </w:rPr>
            </w:pPr>
          </w:p>
        </w:tc>
        <w:tc>
          <w:tcPr>
            <w:tcW w:w="1680" w:type="dxa"/>
            <w:vAlign w:val="bottom"/>
            <w:gridSpan w:val="2"/>
          </w:tcPr>
          <w:p>
            <w:pPr>
              <w:jc w:val="center"/>
              <w:ind w:right="300"/>
              <w:spacing w:after="0"/>
              <w:rPr>
                <w:sz w:val="20"/>
                <w:szCs w:val="20"/>
                <w:color w:val="auto"/>
              </w:rPr>
            </w:pPr>
            <w:r>
              <w:rPr>
                <w:rFonts w:ascii="Times New Roman" w:cs="Times New Roman" w:eastAsia="Times New Roman" w:hAnsi="Times New Roman"/>
                <w:sz w:val="18"/>
                <w:szCs w:val="18"/>
                <w:b w:val="1"/>
                <w:bCs w:val="1"/>
                <w:color w:val="auto"/>
                <w:w w:val="99"/>
              </w:rPr>
              <w:t>(b)</w:t>
            </w:r>
          </w:p>
        </w:tc>
        <w:tc>
          <w:tcPr>
            <w:tcW w:w="168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w w:val="99"/>
              </w:rPr>
              <w:t>(c)</w:t>
            </w:r>
          </w:p>
        </w:tc>
      </w:tr>
      <w:tr>
        <w:trPr>
          <w:trHeight w:val="209"/>
        </w:trPr>
        <w:tc>
          <w:tcPr>
            <w:tcW w:w="586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Equity compensation plans approved by security holders (1)</w:t>
            </w:r>
          </w:p>
        </w:tc>
        <w:tc>
          <w:tcPr>
            <w:tcW w:w="1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390</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$23,561.31</w:t>
            </w: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1,369</w:t>
            </w:r>
          </w:p>
        </w:tc>
        <w:tc>
          <w:tcPr>
            <w:tcW w:w="100" w:type="dxa"/>
            <w:vAlign w:val="bottom"/>
            <w:tcBorders>
              <w:top w:val="single" w:sz="8" w:color="EEEEEE"/>
            </w:tcBorders>
            <w:shd w:val="clear" w:color="auto" w:fill="EEEEEE"/>
          </w:tcPr>
          <w:p>
            <w:pPr>
              <w:spacing w:after="0"/>
              <w:rPr>
                <w:sz w:val="18"/>
                <w:szCs w:val="18"/>
                <w:color w:val="auto"/>
              </w:rPr>
            </w:pPr>
          </w:p>
        </w:tc>
      </w:tr>
    </w:tbl>
    <w:p>
      <w:pPr>
        <w:spacing w:after="0" w:line="198" w:lineRule="exact"/>
        <w:rPr>
          <w:sz w:val="20"/>
          <w:szCs w:val="20"/>
          <w:color w:val="auto"/>
        </w:rPr>
      </w:pPr>
    </w:p>
    <w:p>
      <w:pPr>
        <w:ind w:left="260" w:hanging="252"/>
        <w:spacing w:after="0"/>
        <w:tabs>
          <w:tab w:leader="none" w:pos="2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Represents shares of common stock issuable upon exercise of outstanding stock options and rights under our 2017 and 2020 Stock Plans.</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65" w:lineRule="exact"/>
        <w:rPr>
          <w:rFonts w:ascii="Times New Roman" w:cs="Times New Roman" w:eastAsia="Times New Roman" w:hAnsi="Times New Roman"/>
          <w:sz w:val="18"/>
          <w:szCs w:val="18"/>
          <w:color w:val="auto"/>
        </w:rPr>
      </w:pPr>
    </w:p>
    <w:p>
      <w:pPr>
        <w:ind w:left="55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6" w:name="page17"/>
    <w:bookmarkEnd w:id="16"/>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13.</w:t>
      </w:r>
      <w:r>
        <w:rPr>
          <w:sz w:val="20"/>
          <w:szCs w:val="20"/>
          <w:color w:val="auto"/>
        </w:rPr>
        <w:tab/>
      </w:r>
      <w:r>
        <w:rPr>
          <w:rFonts w:ascii="Times New Roman" w:cs="Times New Roman" w:eastAsia="Times New Roman" w:hAnsi="Times New Roman"/>
          <w:sz w:val="17"/>
          <w:szCs w:val="17"/>
          <w:b w:val="1"/>
          <w:bCs w:val="1"/>
          <w:color w:val="auto"/>
        </w:rPr>
        <w:t>Certain Relationships and Related Transactions, and Director Independence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Policies and Procedures for Related Party Transactions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audit committee charter provides that our audit committee is responsible for reviewing and approving in advance any related party transaction. This will cover, with certain exceptions set forth in Item 404 of Regulation S-K under the Securities Act, any transaction, arrangement or relationship, or any series of similar transactions, arrangements or relationships in which we were or are to be a participant, where the amount involved exceeds $120,000 and a related person had or will have a direct or indirect material interest, including, without limitation, purchases of goods or services by or from the related person or entities in which the related person has a material interest, indebtedness, guarantees of indebtedness and employment by us of a related person. In determining whether to approve a proposed transaction, our Audit Committee will consider all relevant facts and circumstances including: (i) the materiality and character of the related party’s direct or indirect interest; (ii) the commercial reasonableness of the terms; (iii) the benefit or perceived benefit, or lack thereof, to us; (iv) the opportunity cost of alternate transactions; and (v) the actual or apparent conflict of interest of the related party.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rules of the Nasdaq Stock Market, or the Nasdaq Rules, require a majority of a listed company’s board of directors to be composed of independent directors. In addition, the Nasdaq Rules require that, subject to specified exceptions, each member of a listed company’s audit, compensation and nominating and governance committees be independent. Under the Nasdaq Rules, a director will only qualify as an independent director if, in the opinion of our Board of Directors, that person does not have a relationship that would interfere with the exercise of independent judgment in carrying out the responsibilities of a director. The Nasdaq Rules also require that audit committee members satisfy independence criteria set forth in Rule 10A-3 under the Securities Exchange Act of 1934, as amended, or the Exchange Act. In order to be considered independent for purposes of Rule 10A-3, a member of an audit committee of a listed company may not, other than in his or her capacity as a member of the audit committee, the board of directors, or any other board committee, accept, directly or indirectly, any consulting, advisory, or other compensatory fee from the listed company or any of its subsidiaries or otherwise be an affiliated person of the listed company or any of its subsidiaries. In considering the independence of compensation committee members, the Nasdaq Rules require that our board of directors must consider additional factors relevant to the duties of a compensation committee member, including the source of any compensation we pay to the director and any affiliations with our company.</w:t>
      </w:r>
    </w:p>
    <w:p>
      <w:pPr>
        <w:spacing w:after="0" w:line="19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board of directors undertook a review of the composition of our board of directors and its committees and the independence of each director. Based upon information requested from and provided by each director concerning his background, employment and affiliations, including family relationships, our board of directors has determined that each of our directors, with the exception of Mr. Climaco, are independent as defined under the Nasdaq Rules.</w:t>
      </w:r>
    </w:p>
    <w:p>
      <w:pPr>
        <w:spacing w:after="0" w:line="176"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14.</w:t>
      </w:r>
      <w:r>
        <w:rPr>
          <w:sz w:val="20"/>
          <w:szCs w:val="20"/>
          <w:color w:val="auto"/>
        </w:rPr>
        <w:tab/>
      </w:r>
      <w:r>
        <w:rPr>
          <w:rFonts w:ascii="Times New Roman" w:cs="Times New Roman" w:eastAsia="Times New Roman" w:hAnsi="Times New Roman"/>
          <w:sz w:val="18"/>
          <w:szCs w:val="18"/>
          <w:b w:val="1"/>
          <w:bCs w:val="1"/>
          <w:color w:val="auto"/>
        </w:rPr>
        <w:t>Principal Accounting Fees and Services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Aggregate fees for professional services rendered by MaloneBailey, LLP for their services for the fiscal years ended December 31, 2024 and 2023, respectively, were as follows:</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480" w:type="dxa"/>
            <w:vAlign w:val="bottom"/>
          </w:tcPr>
          <w:p>
            <w:pPr>
              <w:spacing w:after="0"/>
              <w:rPr>
                <w:sz w:val="20"/>
                <w:szCs w:val="20"/>
                <w:color w:val="auto"/>
              </w:rPr>
            </w:pPr>
          </w:p>
        </w:tc>
        <w:tc>
          <w:tcPr>
            <w:tcW w:w="4160" w:type="dxa"/>
            <w:vAlign w:val="bottom"/>
            <w:gridSpan w:val="2"/>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60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20" w:type="dxa"/>
            <w:vAlign w:val="bottom"/>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448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180" w:type="dxa"/>
            <w:vAlign w:val="bottom"/>
            <w:tcBorders>
              <w:top w:val="single" w:sz="8" w:color="EEEEEE"/>
            </w:tcBorders>
            <w:shd w:val="clear" w:color="auto" w:fill="EEEEEE"/>
          </w:tcPr>
          <w:p>
            <w:pPr>
              <w:spacing w:after="0"/>
              <w:rPr>
                <w:sz w:val="18"/>
                <w:szCs w:val="18"/>
                <w:color w:val="auto"/>
              </w:rPr>
            </w:pPr>
          </w:p>
        </w:tc>
        <w:tc>
          <w:tcPr>
            <w:tcW w:w="980" w:type="dxa"/>
            <w:vAlign w:val="bottom"/>
            <w:tcBorders>
              <w:top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99,000</w:t>
            </w:r>
          </w:p>
        </w:tc>
        <w:tc>
          <w:tcPr>
            <w:tcW w:w="320" w:type="dxa"/>
            <w:vAlign w:val="bottom"/>
            <w:tcBorders>
              <w:top w:val="single" w:sz="8" w:color="EEEEEE"/>
            </w:tcBorders>
            <w:shd w:val="clear" w:color="auto" w:fill="EEEEEE"/>
          </w:tcPr>
          <w:p>
            <w:pPr>
              <w:spacing w:after="0"/>
              <w:rPr>
                <w:sz w:val="18"/>
                <w:szCs w:val="18"/>
                <w:color w:val="auto"/>
              </w:rPr>
            </w:pPr>
          </w:p>
        </w:tc>
        <w:tc>
          <w:tcPr>
            <w:tcW w:w="360" w:type="dxa"/>
            <w:vAlign w:val="bottom"/>
            <w:tcBorders>
              <w:top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90,000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w:t>
            </w:r>
          </w:p>
        </w:tc>
        <w:tc>
          <w:tcPr>
            <w:tcW w:w="318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w w:val="99"/>
              </w:rPr>
              <w:t>134,000</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16,000</w:t>
            </w:r>
          </w:p>
        </w:tc>
      </w:tr>
      <w:tr>
        <w:trPr>
          <w:trHeight w:val="216"/>
        </w:trPr>
        <w:tc>
          <w:tcPr>
            <w:tcW w:w="448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18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0</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0</w:t>
            </w:r>
          </w:p>
        </w:tc>
      </w:tr>
      <w:tr>
        <w:trPr>
          <w:trHeight w:val="230"/>
        </w:trPr>
        <w:tc>
          <w:tcPr>
            <w:tcW w:w="448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18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0</w:t>
            </w:r>
          </w:p>
        </w:tc>
        <w:tc>
          <w:tcPr>
            <w:tcW w:w="360" w:type="dxa"/>
            <w:vAlign w:val="bottom"/>
          </w:tcPr>
          <w:p>
            <w:pPr>
              <w:spacing w:after="0"/>
              <w:rPr>
                <w:sz w:val="19"/>
                <w:szCs w:val="19"/>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0</w:t>
            </w:r>
          </w:p>
        </w:tc>
      </w:tr>
      <w:tr>
        <w:trPr>
          <w:trHeight w:val="223"/>
        </w:trPr>
        <w:tc>
          <w:tcPr>
            <w:tcW w:w="448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3180" w:type="dxa"/>
            <w:vAlign w:val="bottom"/>
            <w:tcBorders>
              <w:top w:val="single" w:sz="8" w:color="EEEEEE"/>
              <w:bottom w:val="single" w:sz="8" w:color="EEEEEE"/>
            </w:tcBorders>
            <w:shd w:val="clear" w:color="auto" w:fill="EEEEEE"/>
          </w:tcPr>
          <w:p>
            <w:pPr>
              <w:spacing w:after="0"/>
              <w:rPr>
                <w:sz w:val="19"/>
                <w:szCs w:val="19"/>
                <w:color w:val="auto"/>
              </w:rPr>
            </w:pPr>
          </w:p>
        </w:tc>
        <w:tc>
          <w:tcPr>
            <w:tcW w:w="980" w:type="dxa"/>
            <w:vAlign w:val="bottom"/>
            <w:tcBorders>
              <w:top w:val="single" w:sz="8" w:color="auto"/>
              <w:bottom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233,000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106,000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4480" w:type="dxa"/>
            <w:vAlign w:val="bottom"/>
          </w:tcPr>
          <w:p>
            <w:pPr>
              <w:spacing w:after="0" w:line="20" w:lineRule="exact"/>
              <w:rPr>
                <w:sz w:val="1"/>
                <w:szCs w:val="1"/>
                <w:color w:val="auto"/>
              </w:rPr>
            </w:pPr>
          </w:p>
        </w:tc>
        <w:tc>
          <w:tcPr>
            <w:tcW w:w="318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color w:val="auto"/>
        </w:rPr>
        <w:t>Audit Fees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Audit fees represent the aggregate fees billed for professional services rendered by our independent accounting firm for the audit of our annual financial statements, review of financial statements included in our quarterly reports, review of registration statements or services that are normally provided in connection with statutory and regulatory filings or engagements for those fiscal years.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Audit-Related Fees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Audit-related fees represent the aggregate fees billed for assurance and related services that are reasonably related to the performance of the audit or review of our financial statements and are not reported under Audit Fees.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Tax Fees</w:t>
      </w:r>
    </w:p>
    <w:p>
      <w:pPr>
        <w:spacing w:after="0" w:line="22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Tax fees represent the aggregate fees billed for professional services rendered by our principal accountants for tax compliance, tax advice, and tax planning for such years.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All Other Fees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All other fees represent the aggregate fees billed for products and services other than the services reported in the other categories.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Audit Committee Pre-Approval Policies and Procedures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Audit Committee on an annual basis reviews audit and non-audit services performed by the independent auditors. All audit and non-audit services are pre-approved by the Audit Committee, which considers, among other things, the possible effect of the performance of such services on the auditors’ independence.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center"/>
        <w:spacing w:after="0"/>
        <w:rPr>
          <w:sz w:val="20"/>
          <w:szCs w:val="20"/>
          <w:color w:val="auto"/>
        </w:rPr>
      </w:pPr>
      <w:r>
        <w:rPr>
          <w:rFonts w:ascii="Times New Roman" w:cs="Times New Roman" w:eastAsia="Times New Roman" w:hAnsi="Times New Roman"/>
          <w:sz w:val="18"/>
          <w:szCs w:val="18"/>
          <w:b w:val="1"/>
          <w:bCs w:val="1"/>
          <w:color w:val="auto"/>
        </w:rPr>
        <w:t>PART IV</w:t>
      </w:r>
    </w:p>
    <w:p>
      <w:pPr>
        <w:spacing w:after="0" w:line="225" w:lineRule="exact"/>
        <w:rPr>
          <w:sz w:val="20"/>
          <w:szCs w:val="20"/>
          <w:color w:val="auto"/>
        </w:rPr>
      </w:pPr>
    </w:p>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15.</w:t>
      </w:r>
      <w:r>
        <w:rPr>
          <w:sz w:val="20"/>
          <w:szCs w:val="20"/>
          <w:color w:val="auto"/>
        </w:rPr>
        <w:tab/>
      </w:r>
      <w:r>
        <w:rPr>
          <w:rFonts w:ascii="Times New Roman" w:cs="Times New Roman" w:eastAsia="Times New Roman" w:hAnsi="Times New Roman"/>
          <w:sz w:val="17"/>
          <w:szCs w:val="17"/>
          <w:b w:val="1"/>
          <w:bCs w:val="1"/>
          <w:color w:val="auto"/>
        </w:rPr>
        <w:t>Exhibits, Financial Statement Schedules</w:t>
      </w:r>
    </w:p>
    <w:p>
      <w:pPr>
        <w:spacing w:after="0" w:line="229" w:lineRule="exact"/>
        <w:rPr>
          <w:sz w:val="20"/>
          <w:szCs w:val="20"/>
          <w:color w:val="auto"/>
        </w:rPr>
      </w:pPr>
    </w:p>
    <w:p>
      <w:pPr>
        <w:ind w:left="1160" w:hanging="504"/>
        <w:spacing w:after="0"/>
        <w:tabs>
          <w:tab w:leader="none" w:pos="116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following documents are filed or furnished as part of this Form 10-K:</w:t>
      </w:r>
    </w:p>
    <w:p>
      <w:pPr>
        <w:spacing w:after="0" w:line="225" w:lineRule="exact"/>
        <w:rPr>
          <w:rFonts w:ascii="Times New Roman" w:cs="Times New Roman" w:eastAsia="Times New Roman" w:hAnsi="Times New Roman"/>
          <w:sz w:val="18"/>
          <w:szCs w:val="18"/>
          <w:color w:val="auto"/>
        </w:rPr>
      </w:pPr>
    </w:p>
    <w:p>
      <w:pPr>
        <w:ind w:left="1540" w:hanging="452"/>
        <w:spacing w:after="0"/>
        <w:tabs>
          <w:tab w:leader="none" w:pos="154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Statements. Reference is made to the Index to Financial Statements under Item 8, Part II hereof.</w:t>
      </w:r>
    </w:p>
    <w:p>
      <w:pPr>
        <w:spacing w:after="0" w:line="225" w:lineRule="exact"/>
        <w:rPr>
          <w:rFonts w:ascii="Times New Roman" w:cs="Times New Roman" w:eastAsia="Times New Roman" w:hAnsi="Times New Roman"/>
          <w:sz w:val="18"/>
          <w:szCs w:val="18"/>
          <w:color w:val="auto"/>
        </w:rPr>
      </w:pPr>
    </w:p>
    <w:p>
      <w:pPr>
        <w:ind w:right="80" w:firstLine="1088"/>
        <w:spacing w:after="0" w:line="282" w:lineRule="auto"/>
        <w:tabs>
          <w:tab w:leader="none" w:pos="153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Statement Schedules. The Financial Statement Schedules have been omitted either because they are not required or because the information has been included in the financial statements or the notes thereto included in this Annual Report on Form 10-K.</w:t>
      </w:r>
    </w:p>
    <w:p>
      <w:pPr>
        <w:spacing w:after="0" w:line="161" w:lineRule="exact"/>
        <w:rPr>
          <w:rFonts w:ascii="Times New Roman" w:cs="Times New Roman" w:eastAsia="Times New Roman" w:hAnsi="Times New Roman"/>
          <w:sz w:val="18"/>
          <w:szCs w:val="18"/>
          <w:color w:val="auto"/>
        </w:rPr>
      </w:pPr>
    </w:p>
    <w:p>
      <w:pPr>
        <w:ind w:left="1540" w:hanging="452"/>
        <w:spacing w:after="0"/>
        <w:tabs>
          <w:tab w:leader="none" w:pos="1540" w:val="left"/>
        </w:tabs>
        <w:numPr>
          <w:ilvl w:val="1"/>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Exhibits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6360" w:type="dxa"/>
            <w:vAlign w:val="bottom"/>
            <w:gridSpan w:val="8"/>
          </w:tcPr>
          <w:p>
            <w:pPr>
              <w:ind w:left="40"/>
              <w:spacing w:after="0"/>
              <w:rPr>
                <w:sz w:val="20"/>
                <w:szCs w:val="20"/>
                <w:color w:val="auto"/>
              </w:rPr>
            </w:pPr>
            <w:r>
              <w:rPr>
                <w:rFonts w:ascii="Times New Roman" w:cs="Times New Roman" w:eastAsia="Times New Roman" w:hAnsi="Times New Roman"/>
                <w:sz w:val="18"/>
                <w:szCs w:val="18"/>
                <w:b w:val="1"/>
                <w:bCs w:val="1"/>
                <w:color w:val="auto"/>
              </w:rPr>
              <w:t>EXHIBIT INDEX</w:t>
            </w:r>
          </w:p>
        </w:tc>
      </w:tr>
      <w:tr>
        <w:trPr>
          <w:trHeight w:val="410"/>
        </w:trPr>
        <w:tc>
          <w:tcPr>
            <w:tcW w:w="1360" w:type="dxa"/>
            <w:vAlign w:val="bottom"/>
            <w:gridSpan w:val="2"/>
          </w:tcPr>
          <w:p>
            <w:pPr>
              <w:ind w:left="34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2200" w:type="dxa"/>
            <w:vAlign w:val="bottom"/>
          </w:tcPr>
          <w:p>
            <w:pPr>
              <w:spacing w:after="0"/>
              <w:rPr>
                <w:sz w:val="24"/>
                <w:szCs w:val="24"/>
                <w:color w:val="auto"/>
              </w:rPr>
            </w:pPr>
          </w:p>
        </w:tc>
        <w:tc>
          <w:tcPr>
            <w:tcW w:w="13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4160" w:type="dxa"/>
            <w:vAlign w:val="bottom"/>
          </w:tcPr>
          <w:p>
            <w:pPr>
              <w:spacing w:after="0"/>
              <w:rPr>
                <w:sz w:val="24"/>
                <w:szCs w:val="24"/>
                <w:color w:val="auto"/>
              </w:rPr>
            </w:pPr>
          </w:p>
        </w:tc>
        <w:tc>
          <w:tcPr>
            <w:tcW w:w="40" w:type="dxa"/>
            <w:vAlign w:val="bottom"/>
          </w:tcPr>
          <w:p>
            <w:pPr>
              <w:spacing w:after="0"/>
              <w:rPr>
                <w:sz w:val="24"/>
                <w:szCs w:val="24"/>
                <w:color w:val="auto"/>
              </w:rPr>
            </w:pPr>
          </w:p>
        </w:tc>
      </w:tr>
      <w:tr>
        <w:trPr>
          <w:trHeight w:val="238"/>
        </w:trPr>
        <w:tc>
          <w:tcPr>
            <w:tcW w:w="136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2200" w:type="dxa"/>
            <w:vAlign w:val="bottom"/>
          </w:tcPr>
          <w:p>
            <w:pPr>
              <w:spacing w:after="0"/>
              <w:rPr>
                <w:sz w:val="20"/>
                <w:szCs w:val="20"/>
                <w:color w:val="auto"/>
              </w:rPr>
            </w:pPr>
          </w:p>
        </w:tc>
        <w:tc>
          <w:tcPr>
            <w:tcW w:w="132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5920" w:type="dxa"/>
            <w:vAlign w:val="bottom"/>
            <w:gridSpan w:val="6"/>
          </w:tcPr>
          <w:p>
            <w:pPr>
              <w:ind w:left="2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124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3.1</w:t>
            </w:r>
          </w:p>
        </w:tc>
        <w:tc>
          <w:tcPr>
            <w:tcW w:w="120" w:type="dxa"/>
            <w:vAlign w:val="bottom"/>
          </w:tcPr>
          <w:p>
            <w:pPr>
              <w:spacing w:after="0"/>
              <w:rPr>
                <w:sz w:val="24"/>
                <w:szCs w:val="24"/>
                <w:color w:val="auto"/>
              </w:rPr>
            </w:pPr>
          </w:p>
        </w:tc>
        <w:tc>
          <w:tcPr>
            <w:tcW w:w="9880" w:type="dxa"/>
            <w:vAlign w:val="bottom"/>
            <w:tcBorders>
              <w:top w:val="single" w:sz="8" w:color="auto"/>
            </w:tcBorders>
            <w:gridSpan w:val="10"/>
          </w:tcPr>
          <w:p>
            <w:pPr>
              <w:spacing w:after="0"/>
              <w:rPr>
                <w:rFonts w:ascii="Times New Roman" w:cs="Times New Roman" w:eastAsia="Times New Roman" w:hAnsi="Times New Roman"/>
                <w:sz w:val="18"/>
                <w:szCs w:val="18"/>
                <w:color w:val="0000FF"/>
              </w:rPr>
            </w:pPr>
            <w:hyperlink r:id="rId25">
              <w:r>
                <w:rPr>
                  <w:rFonts w:ascii="Times New Roman" w:cs="Times New Roman" w:eastAsia="Times New Roman" w:hAnsi="Times New Roman"/>
                  <w:sz w:val="18"/>
                  <w:szCs w:val="18"/>
                  <w:color w:val="0000FF"/>
                </w:rPr>
                <w:t xml:space="preserve">Amended and Restated Articles of Incorporation of CNS Pharmaceuticals, Inc.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2.1 to the Company’s Form 1-A file no.</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024-10855)</w:t>
            </w:r>
          </w:p>
        </w:tc>
        <w:tc>
          <w:tcPr>
            <w:tcW w:w="1320" w:type="dxa"/>
            <w:vAlign w:val="bottom"/>
            <w:tcBorders>
              <w:top w:val="single" w:sz="8" w:color="0000EE"/>
            </w:tcBorders>
          </w:tcPr>
          <w:p>
            <w:pPr>
              <w:spacing w:after="0"/>
              <w:rPr>
                <w:sz w:val="20"/>
                <w:szCs w:val="20"/>
                <w:color w:val="auto"/>
              </w:rPr>
            </w:pPr>
          </w:p>
        </w:tc>
        <w:tc>
          <w:tcPr>
            <w:tcW w:w="280" w:type="dxa"/>
            <w:vAlign w:val="bottom"/>
            <w:tcBorders>
              <w:top w:val="single" w:sz="8" w:color="0000EE"/>
            </w:tcBorders>
          </w:tcPr>
          <w:p>
            <w:pPr>
              <w:spacing w:after="0"/>
              <w:rPr>
                <w:sz w:val="20"/>
                <w:szCs w:val="20"/>
                <w:color w:val="auto"/>
              </w:rPr>
            </w:pPr>
          </w:p>
        </w:tc>
        <w:tc>
          <w:tcPr>
            <w:tcW w:w="160" w:type="dxa"/>
            <w:vAlign w:val="bottom"/>
            <w:tcBorders>
              <w:top w:val="single" w:sz="8" w:color="0000EE"/>
            </w:tcBorders>
          </w:tcPr>
          <w:p>
            <w:pPr>
              <w:spacing w:after="0"/>
              <w:rPr>
                <w:sz w:val="20"/>
                <w:szCs w:val="20"/>
                <w:color w:val="auto"/>
              </w:rPr>
            </w:pPr>
          </w:p>
        </w:tc>
        <w:tc>
          <w:tcPr>
            <w:tcW w:w="46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560" w:type="dxa"/>
            <w:vAlign w:val="bottom"/>
            <w:tcBorders>
              <w:top w:val="single" w:sz="8" w:color="0000EE"/>
            </w:tcBorders>
          </w:tcPr>
          <w:p>
            <w:pPr>
              <w:spacing w:after="0"/>
              <w:rPr>
                <w:sz w:val="20"/>
                <w:szCs w:val="20"/>
                <w:color w:val="auto"/>
              </w:rPr>
            </w:pPr>
          </w:p>
        </w:tc>
        <w:tc>
          <w:tcPr>
            <w:tcW w:w="680" w:type="dxa"/>
            <w:vAlign w:val="bottom"/>
            <w:tcBorders>
              <w:top w:val="single" w:sz="8" w:color="0000EE"/>
            </w:tcBorders>
          </w:tcPr>
          <w:p>
            <w:pPr>
              <w:spacing w:after="0"/>
              <w:rPr>
                <w:sz w:val="20"/>
                <w:szCs w:val="20"/>
                <w:color w:val="auto"/>
              </w:rPr>
            </w:pPr>
          </w:p>
        </w:tc>
        <w:tc>
          <w:tcPr>
            <w:tcW w:w="416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3.2</w:t>
            </w:r>
          </w:p>
        </w:tc>
        <w:tc>
          <w:tcPr>
            <w:tcW w:w="120" w:type="dxa"/>
            <w:vAlign w:val="bottom"/>
          </w:tcPr>
          <w:p>
            <w:pPr>
              <w:spacing w:after="0"/>
              <w:rPr>
                <w:sz w:val="24"/>
                <w:szCs w:val="24"/>
                <w:color w:val="auto"/>
              </w:rPr>
            </w:pPr>
          </w:p>
        </w:tc>
        <w:tc>
          <w:tcPr>
            <w:tcW w:w="9840" w:type="dxa"/>
            <w:vAlign w:val="bottom"/>
            <w:tcBorders>
              <w:bottom w:val="single" w:sz="8" w:color="0000EE"/>
            </w:tcBorders>
            <w:gridSpan w:val="9"/>
          </w:tcPr>
          <w:p>
            <w:pPr>
              <w:spacing w:after="0"/>
              <w:rPr>
                <w:rFonts w:ascii="Times New Roman" w:cs="Times New Roman" w:eastAsia="Times New Roman" w:hAnsi="Times New Roman"/>
                <w:sz w:val="18"/>
                <w:szCs w:val="18"/>
                <w:color w:val="0000FF"/>
                <w:w w:val="99"/>
              </w:rPr>
            </w:pPr>
            <w:hyperlink r:id="rId26">
              <w:r>
                <w:rPr>
                  <w:rFonts w:ascii="Times New Roman" w:cs="Times New Roman" w:eastAsia="Times New Roman" w:hAnsi="Times New Roman"/>
                  <w:sz w:val="18"/>
                  <w:szCs w:val="18"/>
                  <w:color w:val="0000FF"/>
                  <w:w w:val="99"/>
                </w:rPr>
                <w:t>Certificate of Amendment to the Amended and Restated Articles of Incorporation of CNS Pharmaceuticals, Inc., filed with the Secretary</w:t>
              </w:r>
            </w:hyperlink>
          </w:p>
        </w:tc>
        <w:tc>
          <w:tcPr>
            <w:tcW w:w="40" w:type="dxa"/>
            <w:vAlign w:val="bottom"/>
          </w:tcPr>
          <w:p>
            <w:pPr>
              <w:spacing w:after="0"/>
              <w:rPr>
                <w:sz w:val="24"/>
                <w:szCs w:val="24"/>
                <w:color w:val="auto"/>
              </w:rPr>
            </w:pPr>
          </w:p>
        </w:tc>
      </w:tr>
      <w:tr>
        <w:trPr>
          <w:trHeight w:val="196"/>
        </w:trPr>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880" w:type="dxa"/>
            <w:vAlign w:val="bottom"/>
            <w:gridSpan w:val="10"/>
          </w:tcPr>
          <w:p>
            <w:pPr>
              <w:spacing w:after="0" w:line="196" w:lineRule="exact"/>
              <w:rPr>
                <w:rFonts w:ascii="Times New Roman" w:cs="Times New Roman" w:eastAsia="Times New Roman" w:hAnsi="Times New Roman"/>
                <w:sz w:val="18"/>
                <w:szCs w:val="18"/>
                <w:color w:val="0000FF"/>
              </w:rPr>
            </w:pPr>
            <w:hyperlink r:id="rId26">
              <w:r>
                <w:rPr>
                  <w:rFonts w:ascii="Times New Roman" w:cs="Times New Roman" w:eastAsia="Times New Roman" w:hAnsi="Times New Roman"/>
                  <w:sz w:val="18"/>
                  <w:szCs w:val="18"/>
                  <w:color w:val="0000FF"/>
                </w:rPr>
                <w:t xml:space="preserve">of 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w:t>
              </w:r>
            </w:hyperlink>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on November 28, 2022)</w:t>
            </w:r>
          </w:p>
        </w:tc>
        <w:tc>
          <w:tcPr>
            <w:tcW w:w="7680" w:type="dxa"/>
            <w:vAlign w:val="bottom"/>
            <w:gridSpan w:val="9"/>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3.3</w:t>
            </w:r>
          </w:p>
        </w:tc>
        <w:tc>
          <w:tcPr>
            <w:tcW w:w="120" w:type="dxa"/>
            <w:vAlign w:val="bottom"/>
          </w:tcPr>
          <w:p>
            <w:pPr>
              <w:spacing w:after="0"/>
              <w:rPr>
                <w:sz w:val="24"/>
                <w:szCs w:val="24"/>
                <w:color w:val="auto"/>
              </w:rPr>
            </w:pPr>
          </w:p>
        </w:tc>
        <w:tc>
          <w:tcPr>
            <w:tcW w:w="9840" w:type="dxa"/>
            <w:vAlign w:val="bottom"/>
            <w:tcBorders>
              <w:bottom w:val="single" w:sz="8" w:color="0000EE"/>
            </w:tcBorders>
            <w:gridSpan w:val="9"/>
          </w:tcPr>
          <w:p>
            <w:pPr>
              <w:spacing w:after="0"/>
              <w:rPr>
                <w:rFonts w:ascii="Times New Roman" w:cs="Times New Roman" w:eastAsia="Times New Roman" w:hAnsi="Times New Roman"/>
                <w:sz w:val="18"/>
                <w:szCs w:val="18"/>
                <w:color w:val="0000EE"/>
                <w:w w:val="99"/>
              </w:rPr>
            </w:pPr>
            <w:hyperlink r:id="rId27">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w:t>
              </w:r>
            </w:hyperlink>
          </w:p>
        </w:tc>
        <w:tc>
          <w:tcPr>
            <w:tcW w:w="40" w:type="dxa"/>
            <w:vAlign w:val="bottom"/>
          </w:tcPr>
          <w:p>
            <w:pPr>
              <w:spacing w:after="0"/>
              <w:rPr>
                <w:sz w:val="24"/>
                <w:szCs w:val="24"/>
                <w:color w:val="auto"/>
              </w:rPr>
            </w:pPr>
          </w:p>
        </w:tc>
      </w:tr>
      <w:tr>
        <w:trPr>
          <w:trHeight w:val="196"/>
        </w:trPr>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880" w:type="dxa"/>
            <w:vAlign w:val="bottom"/>
            <w:gridSpan w:val="10"/>
          </w:tcPr>
          <w:p>
            <w:pPr>
              <w:spacing w:after="0" w:line="196" w:lineRule="exact"/>
              <w:rPr>
                <w:rFonts w:ascii="Times New Roman" w:cs="Times New Roman" w:eastAsia="Times New Roman" w:hAnsi="Times New Roman"/>
                <w:sz w:val="18"/>
                <w:szCs w:val="18"/>
                <w:color w:val="0000EE"/>
              </w:rPr>
            </w:pPr>
            <w:hyperlink r:id="rId27">
              <w:r>
                <w:rPr>
                  <w:rFonts w:ascii="Times New Roman" w:cs="Times New Roman" w:eastAsia="Times New Roman" w:hAnsi="Times New Roman"/>
                  <w:sz w:val="18"/>
                  <w:szCs w:val="18"/>
                  <w:color w:val="0000EE"/>
                </w:rPr>
                <w:t xml:space="preserve">of 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w:t>
              </w:r>
            </w:hyperlink>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on May 3, 2024)</w:t>
            </w:r>
          </w:p>
        </w:tc>
        <w:tc>
          <w:tcPr>
            <w:tcW w:w="7680" w:type="dxa"/>
            <w:vAlign w:val="bottom"/>
            <w:gridSpan w:val="9"/>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3.4</w:t>
            </w:r>
          </w:p>
        </w:tc>
        <w:tc>
          <w:tcPr>
            <w:tcW w:w="120" w:type="dxa"/>
            <w:vAlign w:val="bottom"/>
          </w:tcPr>
          <w:p>
            <w:pPr>
              <w:spacing w:after="0"/>
              <w:rPr>
                <w:sz w:val="24"/>
                <w:szCs w:val="24"/>
                <w:color w:val="auto"/>
              </w:rPr>
            </w:pPr>
          </w:p>
        </w:tc>
        <w:tc>
          <w:tcPr>
            <w:tcW w:w="9840" w:type="dxa"/>
            <w:vAlign w:val="bottom"/>
            <w:tcBorders>
              <w:bottom w:val="single" w:sz="8" w:color="0000EE"/>
            </w:tcBorders>
            <w:gridSpan w:val="9"/>
          </w:tcPr>
          <w:p>
            <w:pPr>
              <w:spacing w:after="0"/>
              <w:rPr>
                <w:rFonts w:ascii="Times New Roman" w:cs="Times New Roman" w:eastAsia="Times New Roman" w:hAnsi="Times New Roman"/>
                <w:sz w:val="18"/>
                <w:szCs w:val="18"/>
                <w:color w:val="0000EE"/>
                <w:w w:val="99"/>
              </w:rPr>
            </w:pPr>
            <w:hyperlink r:id="rId28">
              <w:r>
                <w:rPr>
                  <w:rFonts w:ascii="Times New Roman" w:cs="Times New Roman" w:eastAsia="Times New Roman" w:hAnsi="Times New Roman"/>
                  <w:sz w:val="18"/>
                  <w:szCs w:val="18"/>
                  <w:color w:val="0000EE"/>
                  <w:w w:val="99"/>
                </w:rPr>
                <w:t>Certificate of Amendment to the Amended and Restated Articles of Incorporation of CNS Pharmaceuticals, Inc., filed with the Secretary</w:t>
              </w:r>
            </w:hyperlink>
          </w:p>
        </w:tc>
        <w:tc>
          <w:tcPr>
            <w:tcW w:w="40" w:type="dxa"/>
            <w:vAlign w:val="bottom"/>
          </w:tcPr>
          <w:p>
            <w:pPr>
              <w:spacing w:after="0"/>
              <w:rPr>
                <w:sz w:val="24"/>
                <w:szCs w:val="24"/>
                <w:color w:val="auto"/>
              </w:rPr>
            </w:pPr>
          </w:p>
        </w:tc>
      </w:tr>
      <w:tr>
        <w:trPr>
          <w:trHeight w:val="196"/>
        </w:trPr>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880" w:type="dxa"/>
            <w:vAlign w:val="bottom"/>
            <w:gridSpan w:val="10"/>
          </w:tcPr>
          <w:p>
            <w:pPr>
              <w:spacing w:after="0" w:line="196" w:lineRule="exact"/>
              <w:rPr>
                <w:rFonts w:ascii="Times New Roman" w:cs="Times New Roman" w:eastAsia="Times New Roman" w:hAnsi="Times New Roman"/>
                <w:sz w:val="18"/>
                <w:szCs w:val="18"/>
                <w:color w:val="0000EE"/>
              </w:rPr>
            </w:pPr>
            <w:hyperlink r:id="rId28">
              <w:r>
                <w:rPr>
                  <w:rFonts w:ascii="Times New Roman" w:cs="Times New Roman" w:eastAsia="Times New Roman" w:hAnsi="Times New Roman"/>
                  <w:sz w:val="18"/>
                  <w:szCs w:val="18"/>
                  <w:color w:val="0000EE"/>
                </w:rPr>
                <w:t xml:space="preserve">of State 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w:t>
              </w:r>
            </w:hyperlink>
          </w:p>
        </w:tc>
      </w:tr>
      <w:tr>
        <w:trPr>
          <w:trHeight w:val="236"/>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on June 5, 2024)</w:t>
            </w:r>
          </w:p>
        </w:tc>
        <w:tc>
          <w:tcPr>
            <w:tcW w:w="7680" w:type="dxa"/>
            <w:vAlign w:val="bottom"/>
            <w:gridSpan w:val="9"/>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3.5</w:t>
            </w:r>
          </w:p>
        </w:tc>
        <w:tc>
          <w:tcPr>
            <w:tcW w:w="120" w:type="dxa"/>
            <w:vAlign w:val="bottom"/>
          </w:tcPr>
          <w:p>
            <w:pPr>
              <w:spacing w:after="0"/>
              <w:rPr>
                <w:sz w:val="24"/>
                <w:szCs w:val="24"/>
                <w:color w:val="auto"/>
              </w:rPr>
            </w:pPr>
          </w:p>
        </w:tc>
        <w:tc>
          <w:tcPr>
            <w:tcW w:w="9880" w:type="dxa"/>
            <w:vAlign w:val="bottom"/>
            <w:gridSpan w:val="10"/>
          </w:tcPr>
          <w:p>
            <w:pPr>
              <w:spacing w:after="0"/>
              <w:rPr>
                <w:rFonts w:ascii="Times New Roman" w:cs="Times New Roman" w:eastAsia="Times New Roman" w:hAnsi="Times New Roman"/>
                <w:sz w:val="18"/>
                <w:szCs w:val="18"/>
                <w:color w:val="0000FF"/>
              </w:rPr>
            </w:pPr>
            <w:hyperlink r:id="rId29">
              <w:r>
                <w:rPr>
                  <w:rFonts w:ascii="Times New Roman" w:cs="Times New Roman" w:eastAsia="Times New Roman" w:hAnsi="Times New Roman"/>
                  <w:sz w:val="18"/>
                  <w:szCs w:val="18"/>
                  <w:color w:val="0000FF"/>
                </w:rPr>
                <w:t xml:space="preserve">Amended and Restated Bylaws of CNS Pharmaceuticals, Inc.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3.1 to the Company’s Form 8-K filed August 15, 2023)</w:t>
            </w: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4.1 *</w:t>
            </w:r>
          </w:p>
        </w:tc>
        <w:tc>
          <w:tcPr>
            <w:tcW w:w="120" w:type="dxa"/>
            <w:vAlign w:val="bottom"/>
          </w:tcPr>
          <w:p>
            <w:pPr>
              <w:spacing w:after="0"/>
              <w:rPr>
                <w:sz w:val="24"/>
                <w:szCs w:val="24"/>
                <w:color w:val="auto"/>
              </w:rPr>
            </w:pPr>
          </w:p>
        </w:tc>
        <w:tc>
          <w:tcPr>
            <w:tcW w:w="4440" w:type="dxa"/>
            <w:vAlign w:val="bottom"/>
            <w:tcBorders>
              <w:top w:val="single" w:sz="8" w:color="0000EE"/>
            </w:tcBorders>
            <w:gridSpan w:val="6"/>
          </w:tcPr>
          <w:p>
            <w:pPr>
              <w:spacing w:after="0"/>
              <w:rPr>
                <w:rFonts w:ascii="Times New Roman" w:cs="Times New Roman" w:eastAsia="Times New Roman" w:hAnsi="Times New Roman"/>
                <w:sz w:val="18"/>
                <w:szCs w:val="18"/>
                <w:color w:val="0000EE"/>
              </w:rPr>
            </w:pPr>
            <w:hyperlink r:id="rId30">
              <w:r>
                <w:rPr>
                  <w:rFonts w:ascii="Times New Roman" w:cs="Times New Roman" w:eastAsia="Times New Roman" w:hAnsi="Times New Roman"/>
                  <w:sz w:val="18"/>
                  <w:szCs w:val="18"/>
                  <w:color w:val="0000EE"/>
                </w:rPr>
                <w:t>Description of Securities of CNS Pharmaceuticals, Inc.</w:t>
              </w:r>
            </w:hyperlink>
          </w:p>
        </w:tc>
        <w:tc>
          <w:tcPr>
            <w:tcW w:w="5440" w:type="dxa"/>
            <w:vAlign w:val="bottom"/>
            <w:gridSpan w:val="4"/>
          </w:tcPr>
          <w:p>
            <w:pPr>
              <w:spacing w:after="0"/>
              <w:rPr>
                <w:sz w:val="24"/>
                <w:szCs w:val="24"/>
                <w:color w:val="auto"/>
              </w:rPr>
            </w:pPr>
          </w:p>
        </w:tc>
      </w:tr>
      <w:tr>
        <w:trPr>
          <w:trHeight w:val="20"/>
        </w:trPr>
        <w:tc>
          <w:tcPr>
            <w:tcW w:w="1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520" w:type="dxa"/>
            <w:vAlign w:val="bottom"/>
            <w:gridSpan w:val="2"/>
            <w:shd w:val="clear" w:color="auto" w:fill="0000EE"/>
          </w:tcPr>
          <w:p>
            <w:pPr>
              <w:spacing w:after="0" w:line="20" w:lineRule="exact"/>
              <w:rPr>
                <w:sz w:val="1"/>
                <w:szCs w:val="1"/>
                <w:color w:val="auto"/>
              </w:rPr>
            </w:pPr>
          </w:p>
        </w:tc>
        <w:tc>
          <w:tcPr>
            <w:tcW w:w="28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46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4880" w:type="dxa"/>
            <w:vAlign w:val="bottom"/>
            <w:gridSpan w:val="3"/>
          </w:tcPr>
          <w:p>
            <w:pPr>
              <w:spacing w:after="0" w:line="20" w:lineRule="exact"/>
              <w:rPr>
                <w:sz w:val="1"/>
                <w:szCs w:val="1"/>
                <w:color w:val="auto"/>
              </w:rPr>
            </w:pP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4.2</w:t>
            </w:r>
          </w:p>
        </w:tc>
        <w:tc>
          <w:tcPr>
            <w:tcW w:w="120" w:type="dxa"/>
            <w:vAlign w:val="bottom"/>
          </w:tcPr>
          <w:p>
            <w:pPr>
              <w:spacing w:after="0"/>
              <w:rPr>
                <w:sz w:val="24"/>
                <w:szCs w:val="24"/>
                <w:color w:val="auto"/>
              </w:rPr>
            </w:pPr>
          </w:p>
        </w:tc>
        <w:tc>
          <w:tcPr>
            <w:tcW w:w="9880" w:type="dxa"/>
            <w:vAlign w:val="bottom"/>
            <w:gridSpan w:val="10"/>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Warrant issued in January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4.1 to the Current Report on Form 8-K filed with</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52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the Commission on January 6, 2022)</w:t>
            </w:r>
          </w:p>
        </w:tc>
        <w:tc>
          <w:tcPr>
            <w:tcW w:w="6360" w:type="dxa"/>
            <w:vAlign w:val="bottom"/>
            <w:gridSpan w:val="8"/>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4.3</w:t>
            </w:r>
          </w:p>
        </w:tc>
        <w:tc>
          <w:tcPr>
            <w:tcW w:w="120" w:type="dxa"/>
            <w:vAlign w:val="bottom"/>
          </w:tcPr>
          <w:p>
            <w:pPr>
              <w:spacing w:after="0"/>
              <w:rPr>
                <w:sz w:val="24"/>
                <w:szCs w:val="24"/>
                <w:color w:val="auto"/>
              </w:rPr>
            </w:pPr>
          </w:p>
        </w:tc>
        <w:tc>
          <w:tcPr>
            <w:tcW w:w="9880" w:type="dxa"/>
            <w:vAlign w:val="bottom"/>
            <w:gridSpan w:val="10"/>
          </w:tcPr>
          <w:p>
            <w:pPr>
              <w:spacing w:after="0"/>
              <w:rPr>
                <w:rFonts w:ascii="Times New Roman" w:cs="Times New Roman" w:eastAsia="Times New Roman" w:hAnsi="Times New Roman"/>
                <w:sz w:val="18"/>
                <w:szCs w:val="18"/>
                <w:color w:val="0000FF"/>
              </w:rPr>
            </w:pPr>
            <w:hyperlink r:id="rId32">
              <w:r>
                <w:rPr>
                  <w:rFonts w:ascii="Times New Roman" w:cs="Times New Roman" w:eastAsia="Times New Roman" w:hAnsi="Times New Roman"/>
                  <w:sz w:val="18"/>
                  <w:szCs w:val="18"/>
                  <w:color w:val="0000FF"/>
                </w:rPr>
                <w:t xml:space="preserve">Form of Common Warrant issued in November 2023 offering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4.8 to the Company’s Form S-1 file no. 333-267975)</w:t>
            </w:r>
          </w:p>
        </w:tc>
      </w:tr>
      <w:tr>
        <w:trPr>
          <w:trHeight w:val="20"/>
        </w:trPr>
        <w:tc>
          <w:tcPr>
            <w:tcW w:w="1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0" w:type="dxa"/>
            <w:vAlign w:val="bottom"/>
            <w:gridSpan w:val="3"/>
            <w:shd w:val="clear" w:color="auto" w:fill="0000EE"/>
          </w:tcPr>
          <w:p>
            <w:pPr>
              <w:spacing w:after="0" w:line="20" w:lineRule="exact"/>
              <w:rPr>
                <w:sz w:val="1"/>
                <w:szCs w:val="1"/>
                <w:color w:val="auto"/>
              </w:rPr>
            </w:pPr>
          </w:p>
        </w:tc>
        <w:tc>
          <w:tcPr>
            <w:tcW w:w="620" w:type="dxa"/>
            <w:vAlign w:val="bottom"/>
            <w:gridSpan w:val="2"/>
            <w:shd w:val="clear" w:color="auto" w:fill="0000EE"/>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4880" w:type="dxa"/>
            <w:vAlign w:val="bottom"/>
            <w:gridSpan w:val="3"/>
          </w:tcPr>
          <w:p>
            <w:pPr>
              <w:spacing w:after="0" w:line="20" w:lineRule="exact"/>
              <w:rPr>
                <w:sz w:val="1"/>
                <w:szCs w:val="1"/>
                <w:color w:val="auto"/>
              </w:rPr>
            </w:pP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4.4</w:t>
            </w:r>
          </w:p>
        </w:tc>
        <w:tc>
          <w:tcPr>
            <w:tcW w:w="120" w:type="dxa"/>
            <w:vAlign w:val="bottom"/>
          </w:tcPr>
          <w:p>
            <w:pPr>
              <w:spacing w:after="0"/>
              <w:rPr>
                <w:sz w:val="24"/>
                <w:szCs w:val="24"/>
                <w:color w:val="auto"/>
              </w:rPr>
            </w:pPr>
          </w:p>
        </w:tc>
        <w:tc>
          <w:tcPr>
            <w:tcW w:w="9880" w:type="dxa"/>
            <w:vAlign w:val="bottom"/>
            <w:gridSpan w:val="10"/>
          </w:tcPr>
          <w:p>
            <w:pPr>
              <w:spacing w:after="0"/>
              <w:rPr>
                <w:rFonts w:ascii="Times New Roman" w:cs="Times New Roman" w:eastAsia="Times New Roman" w:hAnsi="Times New Roman"/>
                <w:sz w:val="18"/>
                <w:szCs w:val="18"/>
                <w:color w:val="0000FF"/>
              </w:rPr>
            </w:pPr>
            <w:hyperlink r:id="rId33">
              <w:r>
                <w:rPr>
                  <w:rFonts w:ascii="Times New Roman" w:cs="Times New Roman" w:eastAsia="Times New Roman" w:hAnsi="Times New Roman"/>
                  <w:sz w:val="18"/>
                  <w:szCs w:val="18"/>
                  <w:color w:val="0000FF"/>
                </w:rPr>
                <w:t xml:space="preserve">Form of Placement Agent Warrant issued in November 2023 offering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4.9 to the Company’s Form S-1 file no. 333-</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20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267975)</w:t>
            </w:r>
          </w:p>
        </w:tc>
        <w:tc>
          <w:tcPr>
            <w:tcW w:w="1320" w:type="dxa"/>
            <w:vAlign w:val="bottom"/>
            <w:tcBorders>
              <w:top w:val="single" w:sz="8" w:color="0000EE"/>
            </w:tcBorders>
          </w:tcPr>
          <w:p>
            <w:pPr>
              <w:spacing w:after="0"/>
              <w:rPr>
                <w:sz w:val="20"/>
                <w:szCs w:val="20"/>
                <w:color w:val="auto"/>
              </w:rPr>
            </w:pPr>
          </w:p>
        </w:tc>
        <w:tc>
          <w:tcPr>
            <w:tcW w:w="280" w:type="dxa"/>
            <w:vAlign w:val="bottom"/>
            <w:tcBorders>
              <w:top w:val="single" w:sz="8" w:color="0000EE"/>
            </w:tcBorders>
          </w:tcPr>
          <w:p>
            <w:pPr>
              <w:spacing w:after="0"/>
              <w:rPr>
                <w:sz w:val="20"/>
                <w:szCs w:val="20"/>
                <w:color w:val="auto"/>
              </w:rPr>
            </w:pPr>
          </w:p>
        </w:tc>
        <w:tc>
          <w:tcPr>
            <w:tcW w:w="160" w:type="dxa"/>
            <w:vAlign w:val="bottom"/>
            <w:tcBorders>
              <w:top w:val="single" w:sz="8" w:color="0000EE"/>
            </w:tcBorders>
          </w:tcPr>
          <w:p>
            <w:pPr>
              <w:spacing w:after="0"/>
              <w:rPr>
                <w:sz w:val="20"/>
                <w:szCs w:val="20"/>
                <w:color w:val="auto"/>
              </w:rPr>
            </w:pPr>
          </w:p>
        </w:tc>
        <w:tc>
          <w:tcPr>
            <w:tcW w:w="46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560" w:type="dxa"/>
            <w:vAlign w:val="bottom"/>
            <w:tcBorders>
              <w:top w:val="single" w:sz="8" w:color="0000EE"/>
            </w:tcBorders>
          </w:tcPr>
          <w:p>
            <w:pPr>
              <w:spacing w:after="0"/>
              <w:rPr>
                <w:sz w:val="20"/>
                <w:szCs w:val="20"/>
                <w:color w:val="auto"/>
              </w:rPr>
            </w:pPr>
          </w:p>
        </w:tc>
        <w:tc>
          <w:tcPr>
            <w:tcW w:w="680" w:type="dxa"/>
            <w:vAlign w:val="bottom"/>
          </w:tcPr>
          <w:p>
            <w:pPr>
              <w:spacing w:after="0"/>
              <w:rPr>
                <w:sz w:val="20"/>
                <w:szCs w:val="20"/>
                <w:color w:val="auto"/>
              </w:rPr>
            </w:pPr>
          </w:p>
        </w:tc>
        <w:tc>
          <w:tcPr>
            <w:tcW w:w="4160" w:type="dxa"/>
            <w:vAlign w:val="bottom"/>
          </w:tcPr>
          <w:p>
            <w:pPr>
              <w:spacing w:after="0"/>
              <w:rPr>
                <w:sz w:val="20"/>
                <w:szCs w:val="20"/>
                <w:color w:val="auto"/>
              </w:rPr>
            </w:pPr>
          </w:p>
        </w:tc>
        <w:tc>
          <w:tcPr>
            <w:tcW w:w="40" w:type="dxa"/>
            <w:vAlign w:val="bottom"/>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4.5</w:t>
            </w:r>
          </w:p>
        </w:tc>
        <w:tc>
          <w:tcPr>
            <w:tcW w:w="120" w:type="dxa"/>
            <w:vAlign w:val="bottom"/>
          </w:tcPr>
          <w:p>
            <w:pPr>
              <w:spacing w:after="0"/>
              <w:rPr>
                <w:sz w:val="24"/>
                <w:szCs w:val="24"/>
                <w:color w:val="auto"/>
              </w:rPr>
            </w:pPr>
          </w:p>
        </w:tc>
        <w:tc>
          <w:tcPr>
            <w:tcW w:w="9880" w:type="dxa"/>
            <w:vAlign w:val="bottom"/>
            <w:gridSpan w:val="10"/>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Inducement Warrant issued in October 2023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80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with the Commission on October 17, 2023)</w:t>
            </w:r>
          </w:p>
        </w:tc>
        <w:tc>
          <w:tcPr>
            <w:tcW w:w="6080" w:type="dxa"/>
            <w:vAlign w:val="bottom"/>
            <w:gridSpan w:val="7"/>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tbl>
      <w:tblPr>
        <w:tblLayout w:type="fixed"/>
        <w:tblInd w:w="0" w:type="dxa"/>
        <w:tblCellMar>
          <w:top w:w="0" w:type="dxa"/>
          <w:left w:w="0" w:type="dxa"/>
          <w:bottom w:w="0" w:type="dxa"/>
          <w:right w:w="0" w:type="dxa"/>
        </w:tblCellMar>
      </w:tblPr>
      <w:tr>
        <w:trPr>
          <w:trHeight w:val="216"/>
        </w:trPr>
        <w:tc>
          <w:tcPr>
            <w:tcW w:w="1360" w:type="dxa"/>
            <w:vAlign w:val="bottom"/>
            <w:gridSpan w:val="2"/>
          </w:tcPr>
          <w:p>
            <w:pPr>
              <w:ind w:left="34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36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0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136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360" w:type="dxa"/>
            <w:vAlign w:val="bottom"/>
          </w:tcPr>
          <w:p>
            <w:pPr>
              <w:spacing w:after="0"/>
              <w:rPr>
                <w:sz w:val="20"/>
                <w:szCs w:val="20"/>
                <w:color w:val="auto"/>
              </w:rPr>
            </w:pPr>
          </w:p>
        </w:tc>
        <w:tc>
          <w:tcPr>
            <w:tcW w:w="1220" w:type="dxa"/>
            <w:vAlign w:val="bottom"/>
          </w:tcPr>
          <w:p>
            <w:pPr>
              <w:spacing w:after="0"/>
              <w:rPr>
                <w:sz w:val="20"/>
                <w:szCs w:val="20"/>
                <w:color w:val="auto"/>
              </w:rPr>
            </w:pPr>
          </w:p>
        </w:tc>
        <w:tc>
          <w:tcPr>
            <w:tcW w:w="10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6040" w:type="dxa"/>
            <w:vAlign w:val="bottom"/>
            <w:gridSpan w:val="9"/>
          </w:tcPr>
          <w:p>
            <w:pPr>
              <w:ind w:left="14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124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4.6</w:t>
            </w:r>
          </w:p>
        </w:tc>
        <w:tc>
          <w:tcPr>
            <w:tcW w:w="120" w:type="dxa"/>
            <w:vAlign w:val="bottom"/>
          </w:tcPr>
          <w:p>
            <w:pPr>
              <w:spacing w:after="0"/>
              <w:rPr>
                <w:sz w:val="24"/>
                <w:szCs w:val="24"/>
                <w:color w:val="auto"/>
              </w:rPr>
            </w:pPr>
          </w:p>
        </w:tc>
        <w:tc>
          <w:tcPr>
            <w:tcW w:w="9880" w:type="dxa"/>
            <w:vAlign w:val="bottom"/>
            <w:tcBorders>
              <w:top w:val="single" w:sz="8" w:color="auto"/>
            </w:tcBorders>
            <w:gridSpan w:val="17"/>
          </w:tcPr>
          <w:p>
            <w:pPr>
              <w:spacing w:after="0"/>
              <w:rPr>
                <w:rFonts w:ascii="Times New Roman" w:cs="Times New Roman" w:eastAsia="Times New Roman" w:hAnsi="Times New Roman"/>
                <w:sz w:val="18"/>
                <w:szCs w:val="18"/>
                <w:color w:val="0000FF"/>
              </w:rPr>
            </w:pPr>
            <w:hyperlink r:id="rId35">
              <w:r>
                <w:rPr>
                  <w:rFonts w:ascii="Times New Roman" w:cs="Times New Roman" w:eastAsia="Times New Roman" w:hAnsi="Times New Roman"/>
                  <w:sz w:val="18"/>
                  <w:szCs w:val="18"/>
                  <w:color w:val="0000FF"/>
                </w:rPr>
                <w:t xml:space="preserve">Form of Series A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4.1 to the Current Report on Form 8-K</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10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filed with the Commission on February 2, 2024)</w:t>
            </w:r>
          </w:p>
        </w:tc>
        <w:tc>
          <w:tcPr>
            <w:tcW w:w="5780" w:type="dxa"/>
            <w:vAlign w:val="bottom"/>
            <w:gridSpan w:val="7"/>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4.7</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36">
              <w:r>
                <w:rPr>
                  <w:rFonts w:ascii="Times New Roman" w:cs="Times New Roman" w:eastAsia="Times New Roman" w:hAnsi="Times New Roman"/>
                  <w:sz w:val="18"/>
                  <w:szCs w:val="18"/>
                  <w:color w:val="0000FF"/>
                </w:rPr>
                <w:t xml:space="preserve">Form of Series B Common Warrant issued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4.2 to the Current Report on Form 8-K</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8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filed with the Commission on February 2, 2024)</w:t>
            </w:r>
          </w:p>
        </w:tc>
        <w:tc>
          <w:tcPr>
            <w:tcW w:w="5800" w:type="dxa"/>
            <w:vAlign w:val="bottom"/>
            <w:gridSpan w:val="8"/>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4.8</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w w:val="99"/>
              </w:rPr>
            </w:pPr>
            <w:hyperlink r:id="rId37">
              <w:r>
                <w:rPr>
                  <w:rFonts w:ascii="Times New Roman" w:cs="Times New Roman" w:eastAsia="Times New Roman" w:hAnsi="Times New Roman"/>
                  <w:sz w:val="18"/>
                  <w:szCs w:val="18"/>
                  <w:color w:val="0000FF"/>
                  <w:w w:val="99"/>
                </w:rPr>
                <w:t xml:space="preserve">Form of Pre-Funded Warrant issued January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FF"/>
                <w:w w:val="99"/>
              </w:rPr>
              <w:t xml:space="preserve"> </w:t>
            </w:r>
            <w:r>
              <w:rPr>
                <w:rFonts w:ascii="Times New Roman" w:cs="Times New Roman" w:eastAsia="Times New Roman" w:hAnsi="Times New Roman"/>
                <w:sz w:val="18"/>
                <w:szCs w:val="18"/>
                <w:color w:val="000000"/>
                <w:w w:val="99"/>
              </w:rPr>
              <w:t>by reference to Exhibit 4.3 to the Current Report on Form 8-K filed with</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60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the Commission on February 2, 2024)</w:t>
            </w:r>
          </w:p>
        </w:tc>
        <w:tc>
          <w:tcPr>
            <w:tcW w:w="6280" w:type="dxa"/>
            <w:vAlign w:val="bottom"/>
            <w:gridSpan w:val="10"/>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EE"/>
              </w:rPr>
            </w:pPr>
            <w:hyperlink r:id="rId38">
              <w:r>
                <w:rPr>
                  <w:rFonts w:ascii="Times New Roman" w:cs="Times New Roman" w:eastAsia="Times New Roman" w:hAnsi="Times New Roman"/>
                  <w:sz w:val="18"/>
                  <w:szCs w:val="18"/>
                  <w:color w:val="0000EE"/>
                </w:rPr>
                <w:t xml:space="preserve">Form of Warrant issued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 with the</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70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Commission on June 14, 2024)</w:t>
            </w:r>
          </w:p>
        </w:tc>
        <w:tc>
          <w:tcPr>
            <w:tcW w:w="7180" w:type="dxa"/>
            <w:vAlign w:val="bottom"/>
            <w:gridSpan w:val="13"/>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EE"/>
                <w:w w:val="99"/>
              </w:rPr>
            </w:pPr>
            <w:hyperlink r:id="rId39">
              <w:r>
                <w:rPr>
                  <w:rFonts w:ascii="Times New Roman" w:cs="Times New Roman" w:eastAsia="Times New Roman" w:hAnsi="Times New Roman"/>
                  <w:sz w:val="18"/>
                  <w:szCs w:val="18"/>
                  <w:color w:val="0000EE"/>
                  <w:w w:val="99"/>
                </w:rPr>
                <w:t xml:space="preserve">Form of Pre-Funded Warrant issued June 14 2024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4.1 to the Current Report on Form 8-K filed with</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58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the Commission on June 14, 2024)</w:t>
            </w:r>
          </w:p>
        </w:tc>
        <w:tc>
          <w:tcPr>
            <w:tcW w:w="6300" w:type="dxa"/>
            <w:vAlign w:val="bottom"/>
            <w:gridSpan w:val="11"/>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4.10</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EE"/>
              </w:rPr>
            </w:pPr>
            <w:hyperlink r:id="rId40">
              <w:r>
                <w:rPr>
                  <w:rFonts w:ascii="Times New Roman" w:cs="Times New Roman" w:eastAsia="Times New Roman" w:hAnsi="Times New Roman"/>
                  <w:sz w:val="18"/>
                  <w:szCs w:val="18"/>
                  <w:color w:val="0000EE"/>
                </w:rPr>
                <w:t xml:space="preserve">Form of Warrant issued June 26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 the</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70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Commission on June 26, 2024)</w:t>
            </w:r>
          </w:p>
        </w:tc>
        <w:tc>
          <w:tcPr>
            <w:tcW w:w="7180" w:type="dxa"/>
            <w:vAlign w:val="bottom"/>
            <w:gridSpan w:val="13"/>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4.11</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EE"/>
              </w:rPr>
            </w:pPr>
            <w:hyperlink r:id="rId41">
              <w:r>
                <w:rPr>
                  <w:rFonts w:ascii="Times New Roman" w:cs="Times New Roman" w:eastAsia="Times New Roman" w:hAnsi="Times New Roman"/>
                  <w:sz w:val="18"/>
                  <w:szCs w:val="18"/>
                  <w:color w:val="0000EE"/>
                </w:rPr>
                <w:t xml:space="preserve">Form of Warrant issued July 3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 with the</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58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Commission on July 3, 2024)</w:t>
            </w:r>
          </w:p>
        </w:tc>
        <w:tc>
          <w:tcPr>
            <w:tcW w:w="7300" w:type="dxa"/>
            <w:vAlign w:val="bottom"/>
            <w:gridSpan w:val="14"/>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4.12</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EE"/>
              </w:rPr>
            </w:pPr>
            <w:hyperlink r:id="rId42">
              <w:r>
                <w:rPr>
                  <w:rFonts w:ascii="Times New Roman" w:cs="Times New Roman" w:eastAsia="Times New Roman" w:hAnsi="Times New Roman"/>
                  <w:sz w:val="18"/>
                  <w:szCs w:val="18"/>
                  <w:color w:val="0000EE"/>
                </w:rPr>
                <w:t xml:space="preserve">Form of Pre-Funded Warrant issued October 23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84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with the Commission on October 24, 2024)</w:t>
            </w:r>
          </w:p>
        </w:tc>
        <w:tc>
          <w:tcPr>
            <w:tcW w:w="6040" w:type="dxa"/>
            <w:vAlign w:val="bottom"/>
            <w:gridSpan w:val="9"/>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120" w:type="dxa"/>
            <w:vAlign w:val="bottom"/>
          </w:tcPr>
          <w:p>
            <w:pPr>
              <w:spacing w:after="0"/>
              <w:rPr>
                <w:sz w:val="24"/>
                <w:szCs w:val="24"/>
                <w:color w:val="auto"/>
              </w:rPr>
            </w:pPr>
          </w:p>
        </w:tc>
        <w:tc>
          <w:tcPr>
            <w:tcW w:w="9780" w:type="dxa"/>
            <w:vAlign w:val="bottom"/>
            <w:tcBorders>
              <w:bottom w:val="single" w:sz="8" w:color="0000EE"/>
            </w:tcBorders>
            <w:gridSpan w:val="16"/>
          </w:tcPr>
          <w:p>
            <w:pPr>
              <w:spacing w:after="0"/>
              <w:rPr>
                <w:rFonts w:ascii="Times New Roman" w:cs="Times New Roman" w:eastAsia="Times New Roman" w:hAnsi="Times New Roman"/>
                <w:sz w:val="18"/>
                <w:szCs w:val="18"/>
                <w:color w:val="0000FF"/>
                <w:w w:val="99"/>
              </w:rPr>
            </w:pPr>
            <w:hyperlink r:id="rId43">
              <w:r>
                <w:rPr>
                  <w:rFonts w:ascii="Times New Roman" w:cs="Times New Roman" w:eastAsia="Times New Roman" w:hAnsi="Times New Roman"/>
                  <w:sz w:val="18"/>
                  <w:szCs w:val="18"/>
                  <w:color w:val="0000FF"/>
                  <w:w w:val="99"/>
                </w:rPr>
                <w:t>Amended And Restated Patent License Agreement effective as of December 28, 2017 between CNS Pharmaceuticals, Inc. and Houston</w:t>
              </w:r>
            </w:hyperlink>
          </w:p>
        </w:tc>
        <w:tc>
          <w:tcPr>
            <w:tcW w:w="100" w:type="dxa"/>
            <w:vAlign w:val="bottom"/>
          </w:tcPr>
          <w:p>
            <w:pPr>
              <w:spacing w:after="0"/>
              <w:rPr>
                <w:sz w:val="24"/>
                <w:szCs w:val="24"/>
                <w:color w:val="auto"/>
              </w:rPr>
            </w:pPr>
          </w:p>
        </w:tc>
      </w:tr>
      <w:tr>
        <w:trPr>
          <w:trHeight w:val="196"/>
        </w:trPr>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880" w:type="dxa"/>
            <w:vAlign w:val="bottom"/>
            <w:gridSpan w:val="17"/>
          </w:tcPr>
          <w:p>
            <w:pPr>
              <w:spacing w:after="0" w:line="196" w:lineRule="exact"/>
              <w:rPr>
                <w:rFonts w:ascii="Times New Roman" w:cs="Times New Roman" w:eastAsia="Times New Roman" w:hAnsi="Times New Roman"/>
                <w:sz w:val="18"/>
                <w:szCs w:val="18"/>
                <w:color w:val="0000FF"/>
              </w:rPr>
            </w:pPr>
            <w:hyperlink r:id="rId43">
              <w:r>
                <w:rPr>
                  <w:rFonts w:ascii="Times New Roman" w:cs="Times New Roman" w:eastAsia="Times New Roman" w:hAnsi="Times New Roman"/>
                  <w:sz w:val="18"/>
                  <w:szCs w:val="18"/>
                  <w:color w:val="0000FF"/>
                </w:rPr>
                <w:t xml:space="preserve">Pharmaceuticals, Inc. </w:t>
              </w:r>
              <w:r>
                <w:rPr>
                  <w:rFonts w:ascii="Times New Roman" w:cs="Times New Roman" w:eastAsia="Times New Roman" w:hAnsi="Times New Roman"/>
                  <w:sz w:val="18"/>
                  <w:szCs w:val="18"/>
                  <w:color w:val="000000"/>
                </w:rPr>
                <w:t>(filed as exhibit 6.1 to the Company’s Form 1-A file no. 024-10855)</w:t>
              </w:r>
            </w:hyperlink>
          </w:p>
        </w:tc>
      </w:tr>
      <w:tr>
        <w:trPr>
          <w:trHeight w:val="20"/>
        </w:trPr>
        <w:tc>
          <w:tcPr>
            <w:tcW w:w="1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220" w:type="dxa"/>
            <w:vAlign w:val="bottom"/>
            <w:shd w:val="clear" w:color="auto" w:fill="0000EE"/>
          </w:tcPr>
          <w:p>
            <w:pPr>
              <w:spacing w:after="0" w:line="20" w:lineRule="exact"/>
              <w:rPr>
                <w:sz w:val="1"/>
                <w:szCs w:val="1"/>
                <w:color w:val="auto"/>
              </w:rPr>
            </w:pPr>
          </w:p>
        </w:tc>
        <w:tc>
          <w:tcPr>
            <w:tcW w:w="1820" w:type="dxa"/>
            <w:vAlign w:val="bottom"/>
            <w:gridSpan w:val="3"/>
          </w:tcPr>
          <w:p>
            <w:pPr>
              <w:spacing w:after="0" w:line="20" w:lineRule="exact"/>
              <w:rPr>
                <w:sz w:val="1"/>
                <w:szCs w:val="1"/>
                <w:color w:val="auto"/>
              </w:rPr>
            </w:pPr>
          </w:p>
        </w:tc>
        <w:tc>
          <w:tcPr>
            <w:tcW w:w="2020" w:type="dxa"/>
            <w:vAlign w:val="bottom"/>
            <w:gridSpan w:val="6"/>
          </w:tcPr>
          <w:p>
            <w:pPr>
              <w:spacing w:after="0" w:line="20" w:lineRule="exact"/>
              <w:rPr>
                <w:sz w:val="1"/>
                <w:szCs w:val="1"/>
                <w:color w:val="auto"/>
              </w:rPr>
            </w:pPr>
          </w:p>
        </w:tc>
        <w:tc>
          <w:tcPr>
            <w:tcW w:w="240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60" w:type="dxa"/>
            <w:vAlign w:val="bottom"/>
          </w:tcPr>
          <w:p>
            <w:pPr>
              <w:spacing w:after="0" w:line="20" w:lineRule="exact"/>
              <w:rPr>
                <w:sz w:val="1"/>
                <w:szCs w:val="1"/>
                <w:color w:val="auto"/>
              </w:rPr>
            </w:pPr>
          </w:p>
        </w:tc>
        <w:tc>
          <w:tcPr>
            <w:tcW w:w="120" w:type="dxa"/>
            <w:vAlign w:val="bottom"/>
            <w:gridSpan w:val="2"/>
          </w:tcPr>
          <w:p>
            <w:pPr>
              <w:spacing w:after="0" w:line="20" w:lineRule="exact"/>
              <w:rPr>
                <w:sz w:val="1"/>
                <w:szCs w:val="1"/>
                <w:color w:val="auto"/>
              </w:rPr>
            </w:pP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10.2</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4">
              <w:r>
                <w:rPr>
                  <w:rFonts w:ascii="Times New Roman" w:cs="Times New Roman" w:eastAsia="Times New Roman" w:hAnsi="Times New Roman"/>
                  <w:sz w:val="18"/>
                  <w:szCs w:val="18"/>
                  <w:color w:val="0000FF"/>
                </w:rPr>
                <w:t>Collaboration and Asset Purchase Agreement between CNS Pharmaceuticals, Inc. and Reata Pharmaceuticals, Inc. dated November 21,</w:t>
              </w:r>
            </w:hyperlink>
          </w:p>
        </w:tc>
      </w:tr>
      <w:tr>
        <w:trPr>
          <w:trHeight w:val="196"/>
        </w:trPr>
        <w:tc>
          <w:tcPr>
            <w:tcW w:w="1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9760" w:type="dxa"/>
            <w:vAlign w:val="bottom"/>
            <w:tcBorders>
              <w:top w:val="single" w:sz="8" w:color="0000EE"/>
            </w:tcBorders>
            <w:gridSpan w:val="15"/>
          </w:tcPr>
          <w:p>
            <w:pPr>
              <w:spacing w:after="0" w:line="196" w:lineRule="exact"/>
              <w:rPr>
                <w:rFonts w:ascii="Times New Roman" w:cs="Times New Roman" w:eastAsia="Times New Roman" w:hAnsi="Times New Roman"/>
                <w:sz w:val="18"/>
                <w:szCs w:val="18"/>
                <w:color w:val="0000FF"/>
              </w:rPr>
            </w:pPr>
            <w:hyperlink r:id="rId44">
              <w:r>
                <w:rPr>
                  <w:rFonts w:ascii="Times New Roman" w:cs="Times New Roman" w:eastAsia="Times New Roman" w:hAnsi="Times New Roman"/>
                  <w:sz w:val="18"/>
                  <w:szCs w:val="18"/>
                  <w:color w:val="0000FF"/>
                </w:rPr>
                <w:t xml:space="preserve">2017 </w:t>
              </w:r>
              <w:r>
                <w:rPr>
                  <w:rFonts w:ascii="Times New Roman" w:cs="Times New Roman" w:eastAsia="Times New Roman" w:hAnsi="Times New Roman"/>
                  <w:sz w:val="18"/>
                  <w:szCs w:val="18"/>
                  <w:color w:val="000000"/>
                </w:rPr>
                <w:t>(filed as exhibit 6.2 to the Company’s Form 1-A file no. 024-10855)</w:t>
              </w:r>
            </w:hyperlink>
          </w:p>
        </w:tc>
        <w:tc>
          <w:tcPr>
            <w:tcW w:w="120" w:type="dxa"/>
            <w:vAlign w:val="bottom"/>
            <w:gridSpan w:val="2"/>
          </w:tcPr>
          <w:p>
            <w:pPr>
              <w:spacing w:after="0"/>
              <w:rPr>
                <w:sz w:val="17"/>
                <w:szCs w:val="17"/>
                <w:color w:val="auto"/>
              </w:rPr>
            </w:pPr>
          </w:p>
        </w:tc>
      </w:tr>
      <w:tr>
        <w:trPr>
          <w:trHeight w:val="20"/>
        </w:trPr>
        <w:tc>
          <w:tcPr>
            <w:tcW w:w="1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3040" w:type="dxa"/>
            <w:vAlign w:val="bottom"/>
            <w:gridSpan w:val="4"/>
          </w:tcPr>
          <w:p>
            <w:pPr>
              <w:spacing w:after="0" w:line="20" w:lineRule="exact"/>
              <w:rPr>
                <w:sz w:val="1"/>
                <w:szCs w:val="1"/>
                <w:color w:val="auto"/>
              </w:rPr>
            </w:pPr>
          </w:p>
        </w:tc>
        <w:tc>
          <w:tcPr>
            <w:tcW w:w="2020" w:type="dxa"/>
            <w:vAlign w:val="bottom"/>
            <w:gridSpan w:val="6"/>
          </w:tcPr>
          <w:p>
            <w:pPr>
              <w:spacing w:after="0" w:line="20" w:lineRule="exact"/>
              <w:rPr>
                <w:sz w:val="1"/>
                <w:szCs w:val="1"/>
                <w:color w:val="auto"/>
              </w:rPr>
            </w:pPr>
          </w:p>
        </w:tc>
        <w:tc>
          <w:tcPr>
            <w:tcW w:w="240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80" w:type="dxa"/>
            <w:vAlign w:val="bottom"/>
            <w:gridSpan w:val="3"/>
          </w:tcPr>
          <w:p>
            <w:pPr>
              <w:spacing w:after="0" w:line="20" w:lineRule="exact"/>
              <w:rPr>
                <w:sz w:val="1"/>
                <w:szCs w:val="1"/>
                <w:color w:val="auto"/>
              </w:rPr>
            </w:pP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10.3 **</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5">
              <w:r>
                <w:rPr>
                  <w:rFonts w:ascii="Times New Roman" w:cs="Times New Roman" w:eastAsia="Times New Roman" w:hAnsi="Times New Roman"/>
                  <w:sz w:val="18"/>
                  <w:szCs w:val="18"/>
                  <w:color w:val="0000FF"/>
                </w:rPr>
                <w:t xml:space="preserve">2017 Stock Plan of CNS Pharmaceuticals, Inc.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6.3 to the Company’s Form 1-A file no. 024-10855)</w:t>
            </w:r>
          </w:p>
        </w:tc>
      </w:tr>
      <w:tr>
        <w:trPr>
          <w:trHeight w:val="20"/>
        </w:trPr>
        <w:tc>
          <w:tcPr>
            <w:tcW w:w="1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400" w:type="dxa"/>
            <w:vAlign w:val="bottom"/>
            <w:gridSpan w:val="5"/>
            <w:shd w:val="clear" w:color="auto" w:fill="0000EE"/>
          </w:tcPr>
          <w:p>
            <w:pPr>
              <w:spacing w:after="0" w:line="20" w:lineRule="exact"/>
              <w:rPr>
                <w:sz w:val="1"/>
                <w:szCs w:val="1"/>
                <w:color w:val="auto"/>
              </w:rPr>
            </w:pPr>
          </w:p>
        </w:tc>
        <w:tc>
          <w:tcPr>
            <w:tcW w:w="2020" w:type="dxa"/>
            <w:vAlign w:val="bottom"/>
            <w:gridSpan w:val="6"/>
          </w:tcPr>
          <w:p>
            <w:pPr>
              <w:spacing w:after="0" w:line="20" w:lineRule="exact"/>
              <w:rPr>
                <w:sz w:val="1"/>
                <w:szCs w:val="1"/>
                <w:color w:val="auto"/>
              </w:rPr>
            </w:pPr>
          </w:p>
        </w:tc>
        <w:tc>
          <w:tcPr>
            <w:tcW w:w="240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580" w:type="dxa"/>
            <w:vAlign w:val="bottom"/>
            <w:gridSpan w:val="3"/>
          </w:tcPr>
          <w:p>
            <w:pPr>
              <w:spacing w:after="0" w:line="20" w:lineRule="exact"/>
              <w:rPr>
                <w:sz w:val="1"/>
                <w:szCs w:val="1"/>
                <w:color w:val="auto"/>
              </w:rPr>
            </w:pPr>
          </w:p>
        </w:tc>
      </w:tr>
      <w:tr>
        <w:trPr>
          <w:trHeight w:val="41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10.4 **</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6">
              <w:r>
                <w:rPr>
                  <w:rFonts w:ascii="Times New Roman" w:cs="Times New Roman" w:eastAsia="Times New Roman" w:hAnsi="Times New Roman"/>
                  <w:sz w:val="18"/>
                  <w:szCs w:val="18"/>
                  <w:color w:val="0000FF"/>
                </w:rPr>
                <w:t xml:space="preserve">Employment Agreement between CNS Pharmaceuticals, Inc. and John M. Climaco dated September 1, 2017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6.4 to the</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8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Company’s Form 1-A file no. 024-10855)</w:t>
            </w:r>
          </w:p>
        </w:tc>
        <w:tc>
          <w:tcPr>
            <w:tcW w:w="2060" w:type="dxa"/>
            <w:vAlign w:val="bottom"/>
            <w:gridSpan w:val="5"/>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10.5</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7">
              <w:r>
                <w:rPr>
                  <w:rFonts w:ascii="Times New Roman" w:cs="Times New Roman" w:eastAsia="Times New Roman" w:hAnsi="Times New Roman"/>
                  <w:sz w:val="18"/>
                  <w:szCs w:val="18"/>
                  <w:color w:val="0000FF"/>
                </w:rPr>
                <w:t xml:space="preserve">Sublicense Agreement between CNS Pharmaceuticals, Inc. and WPD Pharmaceuticals, Inc. dated August 30, 2018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6.6</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26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to the Company’s Form 1-A Amendment file no. 024-10855)</w:t>
            </w:r>
          </w:p>
        </w:tc>
        <w:tc>
          <w:tcPr>
            <w:tcW w:w="1620" w:type="dxa"/>
            <w:vAlign w:val="bottom"/>
            <w:gridSpan w:val="4"/>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8">
              <w:r>
                <w:rPr>
                  <w:rFonts w:ascii="Times New Roman" w:cs="Times New Roman" w:eastAsia="Times New Roman" w:hAnsi="Times New Roman"/>
                  <w:sz w:val="18"/>
                  <w:szCs w:val="18"/>
                  <w:color w:val="0000FF"/>
                </w:rPr>
                <w:t xml:space="preserve">Sublicense Agreement between CNS Pharmaceuticals, Inc. and Animal Life Sciences, LLC. dated August 31, 2018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6.7</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30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to the Company’s Form 1-A Amendment file no. 024-10855)</w:t>
            </w:r>
          </w:p>
        </w:tc>
        <w:tc>
          <w:tcPr>
            <w:tcW w:w="1580" w:type="dxa"/>
            <w:vAlign w:val="bottom"/>
            <w:gridSpan w:val="3"/>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10.7 **</w:t>
            </w:r>
          </w:p>
        </w:tc>
        <w:tc>
          <w:tcPr>
            <w:tcW w:w="120" w:type="dxa"/>
            <w:vAlign w:val="bottom"/>
          </w:tcPr>
          <w:p>
            <w:pPr>
              <w:spacing w:after="0"/>
              <w:rPr>
                <w:sz w:val="24"/>
                <w:szCs w:val="24"/>
                <w:color w:val="auto"/>
              </w:rPr>
            </w:pPr>
          </w:p>
        </w:tc>
        <w:tc>
          <w:tcPr>
            <w:tcW w:w="9880" w:type="dxa"/>
            <w:vAlign w:val="bottom"/>
            <w:gridSpan w:val="17"/>
          </w:tcPr>
          <w:p>
            <w:pPr>
              <w:spacing w:after="0"/>
              <w:rPr>
                <w:rFonts w:ascii="Times New Roman" w:cs="Times New Roman" w:eastAsia="Times New Roman" w:hAnsi="Times New Roman"/>
                <w:sz w:val="18"/>
                <w:szCs w:val="18"/>
                <w:color w:val="0000FF"/>
              </w:rPr>
            </w:pPr>
            <w:hyperlink r:id="rId49">
              <w:r>
                <w:rPr>
                  <w:rFonts w:ascii="Times New Roman" w:cs="Times New Roman" w:eastAsia="Times New Roman" w:hAnsi="Times New Roman"/>
                  <w:sz w:val="18"/>
                  <w:szCs w:val="18"/>
                  <w:color w:val="0000FF"/>
                </w:rPr>
                <w:t xml:space="preserve">Employment Letter between CNS Pharmaceuticals, Inc. and Donald Picker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10.8 to the Company’s Form S-1</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42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Amendment file no. 333-232443)</w:t>
            </w:r>
          </w:p>
        </w:tc>
        <w:tc>
          <w:tcPr>
            <w:tcW w:w="4460" w:type="dxa"/>
            <w:vAlign w:val="bottom"/>
            <w:gridSpan w:val="6"/>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20" w:name="page21"/>
    <w:bookmarkEnd w:id="20"/>
    <w:tbl>
      <w:tblPr>
        <w:tblLayout w:type="fixed"/>
        <w:tblInd w:w="0" w:type="dxa"/>
        <w:tblCellMar>
          <w:top w:w="0" w:type="dxa"/>
          <w:left w:w="0" w:type="dxa"/>
          <w:bottom w:w="0" w:type="dxa"/>
          <w:right w:w="0" w:type="dxa"/>
        </w:tblCellMar>
      </w:tblPr>
      <w:tr>
        <w:trPr>
          <w:trHeight w:val="216"/>
        </w:trPr>
        <w:tc>
          <w:tcPr>
            <w:tcW w:w="1360" w:type="dxa"/>
            <w:vAlign w:val="bottom"/>
            <w:gridSpan w:val="2"/>
          </w:tcPr>
          <w:p>
            <w:pPr>
              <w:ind w:left="34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33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r>
      <w:tr>
        <w:trPr>
          <w:trHeight w:val="238"/>
        </w:trPr>
        <w:tc>
          <w:tcPr>
            <w:tcW w:w="136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336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5940" w:type="dxa"/>
            <w:vAlign w:val="bottom"/>
            <w:gridSpan w:val="11"/>
          </w:tcPr>
          <w:p>
            <w:pPr>
              <w:ind w:left="4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124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10.8 **</w:t>
            </w:r>
          </w:p>
        </w:tc>
        <w:tc>
          <w:tcPr>
            <w:tcW w:w="120" w:type="dxa"/>
            <w:vAlign w:val="bottom"/>
          </w:tcPr>
          <w:p>
            <w:pPr>
              <w:spacing w:after="0"/>
              <w:rPr>
                <w:sz w:val="24"/>
                <w:szCs w:val="24"/>
                <w:color w:val="auto"/>
              </w:rPr>
            </w:pPr>
          </w:p>
        </w:tc>
        <w:tc>
          <w:tcPr>
            <w:tcW w:w="9880" w:type="dxa"/>
            <w:vAlign w:val="bottom"/>
            <w:tcBorders>
              <w:top w:val="single" w:sz="8" w:color="auto"/>
            </w:tcBorders>
            <w:gridSpan w:val="14"/>
          </w:tcPr>
          <w:p>
            <w:pPr>
              <w:spacing w:after="0"/>
              <w:rPr>
                <w:rFonts w:ascii="Times New Roman" w:cs="Times New Roman" w:eastAsia="Times New Roman" w:hAnsi="Times New Roman"/>
                <w:sz w:val="18"/>
                <w:szCs w:val="18"/>
                <w:color w:val="0000FF"/>
              </w:rPr>
            </w:pPr>
            <w:hyperlink r:id="rId51">
              <w:r>
                <w:rPr>
                  <w:rFonts w:ascii="Times New Roman" w:cs="Times New Roman" w:eastAsia="Times New Roman" w:hAnsi="Times New Roman"/>
                  <w:sz w:val="18"/>
                  <w:szCs w:val="18"/>
                  <w:color w:val="0000FF"/>
                </w:rPr>
                <w:t xml:space="preserve">Employment Letter between CNS Pharmaceuticals, Inc. and Sandra Silberman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10.9 to the Company’s Form S-1</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66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Amendment file no. 333-232443)</w:t>
            </w:r>
          </w:p>
        </w:tc>
        <w:tc>
          <w:tcPr>
            <w:tcW w:w="4220" w:type="dxa"/>
            <w:vAlign w:val="bottom"/>
            <w:gridSpan w:val="5"/>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10.9 **</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52">
              <w:r>
                <w:rPr>
                  <w:rFonts w:ascii="Times New Roman" w:cs="Times New Roman" w:eastAsia="Times New Roman" w:hAnsi="Times New Roman"/>
                  <w:sz w:val="18"/>
                  <w:szCs w:val="18"/>
                  <w:color w:val="0000FF"/>
                </w:rPr>
                <w:t xml:space="preserve">Employment Agreement between CNS Pharmaceuticals, Inc. and Christopher Downs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10.10 to the Company’s Form S-1</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16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Amendment file no. 333-232443)</w:t>
            </w:r>
          </w:p>
        </w:tc>
        <w:tc>
          <w:tcPr>
            <w:tcW w:w="3720" w:type="dxa"/>
            <w:vAlign w:val="bottom"/>
            <w:gridSpan w:val="4"/>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10.10 **</w:t>
            </w:r>
          </w:p>
        </w:tc>
        <w:tc>
          <w:tcPr>
            <w:tcW w:w="120" w:type="dxa"/>
            <w:vAlign w:val="bottom"/>
          </w:tcPr>
          <w:p>
            <w:pPr>
              <w:spacing w:after="0"/>
              <w:rPr>
                <w:sz w:val="24"/>
                <w:szCs w:val="24"/>
                <w:color w:val="auto"/>
              </w:rPr>
            </w:pPr>
          </w:p>
        </w:tc>
        <w:tc>
          <w:tcPr>
            <w:tcW w:w="9880" w:type="dxa"/>
            <w:vAlign w:val="bottom"/>
            <w:gridSpan w:val="14"/>
          </w:tcPr>
          <w:p>
            <w:pPr>
              <w:spacing w:after="0"/>
              <w:rPr>
                <w:sz w:val="20"/>
                <w:szCs w:val="20"/>
                <w:color w:val="auto"/>
              </w:rPr>
            </w:pPr>
            <w:r>
              <w:rPr>
                <w:rFonts w:ascii="Times New Roman" w:cs="Times New Roman" w:eastAsia="Times New Roman" w:hAnsi="Times New Roman"/>
                <w:sz w:val="18"/>
                <w:szCs w:val="18"/>
                <w:color w:val="0000FF"/>
                <w:w w:val="99"/>
              </w:rPr>
              <w:t xml:space="preserve">2020 Stock Plan of CNS Pharmaceuticals, Inc. </w:t>
            </w:r>
            <w:r>
              <w:rPr>
                <w:rFonts w:ascii="Times New Roman" w:cs="Times New Roman" w:eastAsia="Times New Roman" w:hAnsi="Times New Roman"/>
                <w:sz w:val="18"/>
                <w:szCs w:val="18"/>
                <w:color w:val="000000"/>
                <w:w w:val="99"/>
              </w:rPr>
              <w:t>(as amended) (incorporated by reference to Exhibit 10.1 to the Current Report on Form 8-</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360" w:type="dxa"/>
            <w:vAlign w:val="bottom"/>
            <w:tcBorders>
              <w:top w:val="single" w:sz="8" w:color="0000FF"/>
            </w:tcBorders>
          </w:tcPr>
          <w:p>
            <w:pPr>
              <w:spacing w:after="0"/>
              <w:rPr>
                <w:sz w:val="20"/>
                <w:szCs w:val="20"/>
                <w:color w:val="auto"/>
              </w:rPr>
            </w:pPr>
            <w:r>
              <w:rPr>
                <w:rFonts w:ascii="Times New Roman" w:cs="Times New Roman" w:eastAsia="Times New Roman" w:hAnsi="Times New Roman"/>
                <w:sz w:val="18"/>
                <w:szCs w:val="18"/>
                <w:color w:val="auto"/>
              </w:rPr>
              <w:t>K filed with the Commission on May 3, 2024)</w:t>
            </w:r>
          </w:p>
        </w:tc>
        <w:tc>
          <w:tcPr>
            <w:tcW w:w="1000" w:type="dxa"/>
            <w:vAlign w:val="bottom"/>
            <w:tcBorders>
              <w:top w:val="single" w:sz="8" w:color="auto"/>
            </w:tcBorders>
            <w:gridSpan w:val="5"/>
          </w:tcPr>
          <w:p>
            <w:pPr>
              <w:spacing w:after="0"/>
              <w:rPr>
                <w:sz w:val="20"/>
                <w:szCs w:val="20"/>
                <w:color w:val="auto"/>
              </w:rPr>
            </w:pPr>
          </w:p>
        </w:tc>
        <w:tc>
          <w:tcPr>
            <w:tcW w:w="5520" w:type="dxa"/>
            <w:vAlign w:val="bottom"/>
            <w:gridSpan w:val="8"/>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10.11**</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w w:val="99"/>
              </w:rPr>
            </w:pPr>
            <w:hyperlink r:id="rId53">
              <w:r>
                <w:rPr>
                  <w:rFonts w:ascii="Times New Roman" w:cs="Times New Roman" w:eastAsia="Times New Roman" w:hAnsi="Times New Roman"/>
                  <w:sz w:val="18"/>
                  <w:szCs w:val="18"/>
                  <w:color w:val="0000FF"/>
                  <w:w w:val="99"/>
                </w:rPr>
                <w:t xml:space="preserve">Amendment to Employment Agreement between CNS Pharmaceuticals, Inc. and John Climaco dated September 1, 2020 </w:t>
              </w:r>
            </w:hyperlink>
            <w:r>
              <w:rPr>
                <w:rFonts w:ascii="Times New Roman" w:cs="Times New Roman" w:eastAsia="Times New Roman" w:hAnsi="Times New Roman"/>
                <w:sz w:val="18"/>
                <w:szCs w:val="18"/>
                <w:color w:val="000000"/>
                <w:w w:val="99"/>
              </w:rPr>
              <w:t>(filed</w:t>
            </w:r>
            <w:r>
              <w:rPr>
                <w:rFonts w:ascii="Times New Roman" w:cs="Times New Roman" w:eastAsia="Times New Roman" w:hAnsi="Times New Roman"/>
                <w:sz w:val="18"/>
                <w:szCs w:val="18"/>
                <w:color w:val="0000FF"/>
                <w:w w:val="99"/>
              </w:rPr>
              <w:t xml:space="preserve"> </w:t>
            </w:r>
            <w:r>
              <w:rPr>
                <w:rFonts w:ascii="Times New Roman" w:cs="Times New Roman" w:eastAsia="Times New Roman" w:hAnsi="Times New Roman"/>
                <w:sz w:val="18"/>
                <w:szCs w:val="18"/>
                <w:color w:val="000000"/>
                <w:w w:val="99"/>
              </w:rPr>
              <w:t>as exhibit</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70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99.1 to the Company’s Form 8-K filed September 4, 2020)</w:t>
            </w:r>
          </w:p>
        </w:tc>
        <w:tc>
          <w:tcPr>
            <w:tcW w:w="1180" w:type="dxa"/>
            <w:vAlign w:val="bottom"/>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10.12</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w w:val="99"/>
              </w:rPr>
            </w:pPr>
            <w:hyperlink r:id="rId54">
              <w:r>
                <w:rPr>
                  <w:rFonts w:ascii="Times New Roman" w:cs="Times New Roman" w:eastAsia="Times New Roman" w:hAnsi="Times New Roman"/>
                  <w:sz w:val="18"/>
                  <w:szCs w:val="18"/>
                  <w:color w:val="0000FF"/>
                  <w:w w:val="99"/>
                </w:rPr>
                <w:t xml:space="preserve">Non-Employee Director Compensation Policy effective July 15, 2021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FF"/>
                <w:w w:val="99"/>
              </w:rPr>
              <w:t xml:space="preserve"> </w:t>
            </w:r>
            <w:r>
              <w:rPr>
                <w:rFonts w:ascii="Times New Roman" w:cs="Times New Roman" w:eastAsia="Times New Roman" w:hAnsi="Times New Roman"/>
                <w:sz w:val="18"/>
                <w:szCs w:val="18"/>
                <w:color w:val="000000"/>
                <w:w w:val="99"/>
              </w:rPr>
              <w:t>by reference to Exhibit 10.1 to the Company’s Form</w:t>
            </w:r>
          </w:p>
        </w:tc>
      </w:tr>
      <w:tr>
        <w:trPr>
          <w:trHeight w:val="236"/>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02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10-Q filed with the Commission on August 12, 2022)</w:t>
            </w:r>
          </w:p>
        </w:tc>
        <w:tc>
          <w:tcPr>
            <w:tcW w:w="4860" w:type="dxa"/>
            <w:vAlign w:val="bottom"/>
            <w:gridSpan w:val="6"/>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10.13</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55">
              <w:r>
                <w:rPr>
                  <w:rFonts w:ascii="Times New Roman" w:cs="Times New Roman" w:eastAsia="Times New Roman" w:hAnsi="Times New Roman"/>
                  <w:sz w:val="18"/>
                  <w:szCs w:val="18"/>
                  <w:color w:val="0000FF"/>
                </w:rPr>
                <w:t xml:space="preserve">Form of Placement Agent Agreement in November 2023 offering </w:t>
              </w:r>
            </w:hyperlink>
            <w:r>
              <w:rPr>
                <w:rFonts w:ascii="Times New Roman" w:cs="Times New Roman" w:eastAsia="Times New Roman" w:hAnsi="Times New Roman"/>
                <w:sz w:val="18"/>
                <w:szCs w:val="18"/>
                <w:color w:val="000000"/>
              </w:rPr>
              <w:t>(filed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as exhibit 10.21 to the Company’s Form S-1 file no. 333-</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36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267975)</w:t>
            </w:r>
          </w:p>
        </w:tc>
        <w:tc>
          <w:tcPr>
            <w:tcW w:w="240" w:type="dxa"/>
            <w:vAlign w:val="bottom"/>
            <w:tcBorders>
              <w:top w:val="single" w:sz="8" w:color="0000EE"/>
            </w:tcBorders>
          </w:tcPr>
          <w:p>
            <w:pPr>
              <w:spacing w:after="0"/>
              <w:rPr>
                <w:sz w:val="20"/>
                <w:szCs w:val="20"/>
                <w:color w:val="auto"/>
              </w:rPr>
            </w:pPr>
          </w:p>
        </w:tc>
        <w:tc>
          <w:tcPr>
            <w:tcW w:w="340" w:type="dxa"/>
            <w:vAlign w:val="bottom"/>
            <w:tcBorders>
              <w:top w:val="single" w:sz="8" w:color="0000EE"/>
            </w:tcBorders>
          </w:tcPr>
          <w:p>
            <w:pPr>
              <w:spacing w:after="0"/>
              <w:rPr>
                <w:sz w:val="20"/>
                <w:szCs w:val="20"/>
                <w:color w:val="auto"/>
              </w:rPr>
            </w:pPr>
          </w:p>
        </w:tc>
        <w:tc>
          <w:tcPr>
            <w:tcW w:w="1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80" w:type="dxa"/>
            <w:vAlign w:val="bottom"/>
            <w:tcBorders>
              <w:top w:val="single" w:sz="8" w:color="0000EE"/>
            </w:tcBorders>
          </w:tcPr>
          <w:p>
            <w:pPr>
              <w:spacing w:after="0"/>
              <w:rPr>
                <w:sz w:val="20"/>
                <w:szCs w:val="20"/>
                <w:color w:val="auto"/>
              </w:rPr>
            </w:pPr>
          </w:p>
        </w:tc>
        <w:tc>
          <w:tcPr>
            <w:tcW w:w="360" w:type="dxa"/>
            <w:vAlign w:val="bottom"/>
            <w:tcBorders>
              <w:top w:val="single" w:sz="8" w:color="0000EE"/>
            </w:tcBorders>
          </w:tcPr>
          <w:p>
            <w:pPr>
              <w:spacing w:after="0"/>
              <w:rPr>
                <w:sz w:val="20"/>
                <w:szCs w:val="20"/>
                <w:color w:val="auto"/>
              </w:rPr>
            </w:pPr>
          </w:p>
        </w:tc>
        <w:tc>
          <w:tcPr>
            <w:tcW w:w="30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1340" w:type="dxa"/>
            <w:vAlign w:val="bottom"/>
          </w:tcPr>
          <w:p>
            <w:pPr>
              <w:spacing w:after="0"/>
              <w:rPr>
                <w:sz w:val="20"/>
                <w:szCs w:val="20"/>
                <w:color w:val="auto"/>
              </w:rPr>
            </w:pPr>
          </w:p>
        </w:tc>
        <w:tc>
          <w:tcPr>
            <w:tcW w:w="10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180" w:type="dxa"/>
            <w:vAlign w:val="bottom"/>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10.14</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Securities Purchase Agreement in January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10.1 to the Current Report on Form 8-K</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8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auto"/>
              </w:rPr>
              <w:t>filed with the Commission on February 2, 2024)</w:t>
            </w:r>
          </w:p>
        </w:tc>
        <w:tc>
          <w:tcPr>
            <w:tcW w:w="5800" w:type="dxa"/>
            <w:vAlign w:val="bottom"/>
            <w:gridSpan w:val="9"/>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Amendment to Common Stock Warrants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by reference to Exhibit 10.2 to the Current Report on Form 8-K filed</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60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with the Commission on February 2, 2024)</w:t>
            </w:r>
          </w:p>
        </w:tc>
        <w:tc>
          <w:tcPr>
            <w:tcW w:w="6280" w:type="dxa"/>
            <w:vAlign w:val="bottom"/>
            <w:gridSpan w:val="12"/>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10.15</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Securities Purchase Agreement in June 14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(incorporated by reference to Exhibit 10.1 to the Current Report on</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6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Form 8-K filed with the Commission on June 14, 2024)</w:t>
            </w:r>
          </w:p>
        </w:tc>
        <w:tc>
          <w:tcPr>
            <w:tcW w:w="5820" w:type="dxa"/>
            <w:vAlign w:val="bottom"/>
            <w:gridSpan w:val="10"/>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10.16</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EE"/>
              </w:rPr>
            </w:pPr>
            <w:hyperlink r:id="rId56">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50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14, 2024)</w:t>
            </w:r>
          </w:p>
        </w:tc>
        <w:tc>
          <w:tcPr>
            <w:tcW w:w="2380" w:type="dxa"/>
            <w:vAlign w:val="bottom"/>
            <w:gridSpan w:val="3"/>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10.17</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Securities Purchase Agreement in June 26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(incorporated by reference to Exhibit 10.1 to the Current Report on</w:t>
            </w:r>
          </w:p>
        </w:tc>
      </w:tr>
      <w:tr>
        <w:trPr>
          <w:trHeight w:val="236"/>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60" w:type="dxa"/>
            <w:vAlign w:val="bottom"/>
            <w:tcBorders>
              <w:top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auto"/>
              </w:rPr>
              <w:t>Form 8-K filed with the Commission on June 26, 2024)</w:t>
            </w:r>
          </w:p>
        </w:tc>
        <w:tc>
          <w:tcPr>
            <w:tcW w:w="5820" w:type="dxa"/>
            <w:vAlign w:val="bottom"/>
            <w:gridSpan w:val="10"/>
          </w:tcPr>
          <w:p>
            <w:pPr>
              <w:spacing w:after="0"/>
              <w:rPr>
                <w:sz w:val="20"/>
                <w:szCs w:val="20"/>
                <w:color w:val="auto"/>
              </w:rPr>
            </w:pPr>
          </w:p>
        </w:tc>
      </w:tr>
      <w:tr>
        <w:trPr>
          <w:trHeight w:val="392"/>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10.18</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EE"/>
              </w:rPr>
            </w:pPr>
            <w:hyperlink r:id="rId57">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50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June 26, 2024)</w:t>
            </w:r>
          </w:p>
        </w:tc>
        <w:tc>
          <w:tcPr>
            <w:tcW w:w="2380" w:type="dxa"/>
            <w:vAlign w:val="bottom"/>
            <w:gridSpan w:val="3"/>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10.19</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FF"/>
                <w:w w:val="99"/>
              </w:rPr>
            </w:pPr>
            <w:hyperlink r:id="rId31">
              <w:r>
                <w:rPr>
                  <w:rFonts w:ascii="Times New Roman" w:cs="Times New Roman" w:eastAsia="Times New Roman" w:hAnsi="Times New Roman"/>
                  <w:sz w:val="18"/>
                  <w:szCs w:val="18"/>
                  <w:color w:val="0000FF"/>
                  <w:w w:val="99"/>
                </w:rPr>
                <w:t xml:space="preserve">Form of Securities Purchase Agreement in July 3 2024 </w:t>
              </w:r>
            </w:hyperlink>
            <w:r>
              <w:rPr>
                <w:rFonts w:ascii="Times New Roman" w:cs="Times New Roman" w:eastAsia="Times New Roman" w:hAnsi="Times New Roman"/>
                <w:sz w:val="18"/>
                <w:szCs w:val="18"/>
                <w:color w:val="000000"/>
                <w:w w:val="99"/>
              </w:rPr>
              <w:t>offering</w:t>
            </w:r>
            <w:r>
              <w:rPr>
                <w:rFonts w:ascii="Times New Roman" w:cs="Times New Roman" w:eastAsia="Times New Roman" w:hAnsi="Times New Roman"/>
                <w:sz w:val="18"/>
                <w:szCs w:val="18"/>
                <w:color w:val="0000FF"/>
                <w:w w:val="99"/>
              </w:rPr>
              <w:t xml:space="preserve"> </w:t>
            </w:r>
            <w:r>
              <w:rPr>
                <w:rFonts w:ascii="Times New Roman" w:cs="Times New Roman" w:eastAsia="Times New Roman" w:hAnsi="Times New Roman"/>
                <w:sz w:val="18"/>
                <w:szCs w:val="18"/>
                <w:color w:val="000000"/>
                <w:w w:val="99"/>
              </w:rPr>
              <w:t>(incorporated by reference to Exhibit 10.1 to the Current Report on Form</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394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8-K filed with the Commission on July 3, 2024)</w:t>
            </w:r>
          </w:p>
        </w:tc>
        <w:tc>
          <w:tcPr>
            <w:tcW w:w="5940" w:type="dxa"/>
            <w:vAlign w:val="bottom"/>
            <w:gridSpan w:val="11"/>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10.20</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Financial Advisory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50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Exhibit 10.2 to the Current Report on Form 8-K filed with the Commission on July 3, 2024)</w:t>
            </w:r>
          </w:p>
        </w:tc>
        <w:tc>
          <w:tcPr>
            <w:tcW w:w="2380" w:type="dxa"/>
            <w:vAlign w:val="bottom"/>
            <w:gridSpan w:val="3"/>
          </w:tcPr>
          <w:p>
            <w:pPr>
              <w:spacing w:after="0"/>
              <w:rPr>
                <w:sz w:val="20"/>
                <w:szCs w:val="20"/>
                <w:color w:val="auto"/>
              </w:rPr>
            </w:pPr>
          </w:p>
        </w:tc>
      </w:tr>
      <w:tr>
        <w:trPr>
          <w:trHeight w:val="391"/>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10.21</w:t>
            </w:r>
          </w:p>
        </w:tc>
        <w:tc>
          <w:tcPr>
            <w:tcW w:w="120" w:type="dxa"/>
            <w:vAlign w:val="bottom"/>
          </w:tcPr>
          <w:p>
            <w:pPr>
              <w:spacing w:after="0"/>
              <w:rPr>
                <w:sz w:val="24"/>
                <w:szCs w:val="24"/>
                <w:color w:val="auto"/>
              </w:rPr>
            </w:pPr>
          </w:p>
        </w:tc>
        <w:tc>
          <w:tcPr>
            <w:tcW w:w="9880" w:type="dxa"/>
            <w:vAlign w:val="bottom"/>
            <w:gridSpan w:val="14"/>
          </w:tcPr>
          <w:p>
            <w:pPr>
              <w:spacing w:after="0"/>
              <w:rPr>
                <w:rFonts w:ascii="Times New Roman" w:cs="Times New Roman" w:eastAsia="Times New Roman" w:hAnsi="Times New Roman"/>
                <w:sz w:val="18"/>
                <w:szCs w:val="18"/>
                <w:color w:val="0000EE"/>
              </w:rPr>
            </w:pPr>
            <w:hyperlink r:id="rId59">
              <w:r>
                <w:rPr>
                  <w:rFonts w:ascii="Times New Roman" w:cs="Times New Roman" w:eastAsia="Times New Roman" w:hAnsi="Times New Roman"/>
                  <w:sz w:val="18"/>
                  <w:szCs w:val="18"/>
                  <w:color w:val="0000EE"/>
                </w:rPr>
                <w:t xml:space="preserve">Sales Agreement, dated July 26, 2024, by and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w:t>
            </w:r>
          </w:p>
        </w:tc>
      </w:tr>
      <w:tr>
        <w:trPr>
          <w:trHeight w:val="237"/>
        </w:trPr>
        <w:tc>
          <w:tcPr>
            <w:tcW w:w="12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858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reference to Exhibit 1.1 to the Current Report on Form 8-K filed with the Commission on July 26, 2024)</w:t>
            </w:r>
          </w:p>
        </w:tc>
        <w:tc>
          <w:tcPr>
            <w:tcW w:w="1300" w:type="dxa"/>
            <w:vAlign w:val="bottom"/>
            <w:gridSpan w:val="2"/>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216"/>
        </w:trPr>
        <w:tc>
          <w:tcPr>
            <w:tcW w:w="340" w:type="dxa"/>
            <w:vAlign w:val="bottom"/>
          </w:tcPr>
          <w:p>
            <w:pPr>
              <w:spacing w:after="0"/>
              <w:rPr>
                <w:sz w:val="18"/>
                <w:szCs w:val="18"/>
                <w:color w:val="auto"/>
              </w:rPr>
            </w:pPr>
          </w:p>
        </w:tc>
        <w:tc>
          <w:tcPr>
            <w:tcW w:w="10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16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10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440" w:type="dxa"/>
            <w:vAlign w:val="bottom"/>
          </w:tcPr>
          <w:p>
            <w:pPr>
              <w:spacing w:after="0"/>
              <w:rPr>
                <w:sz w:val="18"/>
                <w:szCs w:val="18"/>
                <w:color w:val="auto"/>
              </w:rPr>
            </w:pPr>
          </w:p>
        </w:tc>
      </w:tr>
      <w:tr>
        <w:trPr>
          <w:trHeight w:val="238"/>
        </w:trPr>
        <w:tc>
          <w:tcPr>
            <w:tcW w:w="1360" w:type="dxa"/>
            <w:vAlign w:val="bottom"/>
            <w:gridSpan w:val="3"/>
          </w:tcPr>
          <w:p>
            <w:pPr>
              <w:ind w:left="30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16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7660" w:type="dxa"/>
            <w:vAlign w:val="bottom"/>
            <w:gridSpan w:val="9"/>
          </w:tcPr>
          <w:p>
            <w:pPr>
              <w:ind w:left="176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1240" w:type="dxa"/>
            <w:vAlign w:val="bottom"/>
            <w:tcBorders>
              <w:top w:val="single" w:sz="8" w:color="auto"/>
            </w:tcBorders>
            <w:gridSpan w:val="2"/>
          </w:tcPr>
          <w:p>
            <w:pPr>
              <w:spacing w:after="0"/>
              <w:rPr>
                <w:sz w:val="20"/>
                <w:szCs w:val="20"/>
                <w:color w:val="auto"/>
              </w:rPr>
            </w:pPr>
            <w:r>
              <w:rPr>
                <w:rFonts w:ascii="Times New Roman" w:cs="Times New Roman" w:eastAsia="Times New Roman" w:hAnsi="Times New Roman"/>
                <w:sz w:val="18"/>
                <w:szCs w:val="18"/>
                <w:color w:val="auto"/>
              </w:rPr>
              <w:t>10.22</w:t>
            </w:r>
          </w:p>
        </w:tc>
        <w:tc>
          <w:tcPr>
            <w:tcW w:w="120" w:type="dxa"/>
            <w:vAlign w:val="bottom"/>
          </w:tcPr>
          <w:p>
            <w:pPr>
              <w:spacing w:after="0"/>
              <w:rPr>
                <w:sz w:val="24"/>
                <w:szCs w:val="24"/>
                <w:color w:val="auto"/>
              </w:rPr>
            </w:pPr>
          </w:p>
        </w:tc>
        <w:tc>
          <w:tcPr>
            <w:tcW w:w="9880" w:type="dxa"/>
            <w:vAlign w:val="bottom"/>
            <w:tcBorders>
              <w:top w:val="single" w:sz="8" w:color="auto"/>
            </w:tcBorders>
            <w:gridSpan w:val="13"/>
          </w:tcPr>
          <w:p>
            <w:pPr>
              <w:spacing w:after="0"/>
              <w:rPr>
                <w:rFonts w:ascii="Times New Roman" w:cs="Times New Roman" w:eastAsia="Times New Roman" w:hAnsi="Times New Roman"/>
                <w:sz w:val="18"/>
                <w:szCs w:val="18"/>
                <w:color w:val="0000EE"/>
              </w:rPr>
            </w:pPr>
            <w:hyperlink r:id="rId61">
              <w:r>
                <w:rPr>
                  <w:rFonts w:ascii="Times New Roman" w:cs="Times New Roman" w:eastAsia="Times New Roman" w:hAnsi="Times New Roman"/>
                  <w:sz w:val="18"/>
                  <w:szCs w:val="18"/>
                  <w:color w:val="0000EE"/>
                </w:rPr>
                <w:t xml:space="preserve">Form of Waiver and Consent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Current Report on Form 8-K filed with the Commission</w:t>
            </w:r>
          </w:p>
        </w:tc>
      </w:tr>
      <w:tr>
        <w:trPr>
          <w:trHeight w:val="237"/>
        </w:trPr>
        <w:tc>
          <w:tcPr>
            <w:tcW w:w="3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2080" w:type="dxa"/>
            <w:vAlign w:val="bottom"/>
            <w:tcBorders>
              <w:top w:val="single" w:sz="8" w:color="0000EE"/>
            </w:tcBorders>
            <w:gridSpan w:val="3"/>
          </w:tcPr>
          <w:p>
            <w:pPr>
              <w:spacing w:after="0"/>
              <w:rPr>
                <w:sz w:val="20"/>
                <w:szCs w:val="20"/>
                <w:color w:val="auto"/>
              </w:rPr>
            </w:pPr>
            <w:r>
              <w:rPr>
                <w:rFonts w:ascii="Times New Roman" w:cs="Times New Roman" w:eastAsia="Times New Roman" w:hAnsi="Times New Roman"/>
                <w:sz w:val="18"/>
                <w:szCs w:val="18"/>
                <w:color w:val="auto"/>
              </w:rPr>
              <w:t>on July 26, 2024)</w:t>
            </w:r>
          </w:p>
        </w:tc>
        <w:tc>
          <w:tcPr>
            <w:tcW w:w="7800" w:type="dxa"/>
            <w:vAlign w:val="bottom"/>
            <w:gridSpan w:val="10"/>
          </w:tcPr>
          <w:p>
            <w:pPr>
              <w:spacing w:after="0"/>
              <w:rPr>
                <w:sz w:val="20"/>
                <w:szCs w:val="20"/>
                <w:color w:val="auto"/>
              </w:rPr>
            </w:pPr>
          </w:p>
        </w:tc>
      </w:tr>
      <w:tr>
        <w:trPr>
          <w:trHeight w:val="39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10.23</w:t>
            </w:r>
          </w:p>
        </w:tc>
        <w:tc>
          <w:tcPr>
            <w:tcW w:w="120" w:type="dxa"/>
            <w:vAlign w:val="bottom"/>
          </w:tcPr>
          <w:p>
            <w:pPr>
              <w:spacing w:after="0"/>
              <w:rPr>
                <w:sz w:val="24"/>
                <w:szCs w:val="24"/>
                <w:color w:val="auto"/>
              </w:rPr>
            </w:pPr>
          </w:p>
        </w:tc>
        <w:tc>
          <w:tcPr>
            <w:tcW w:w="9880" w:type="dxa"/>
            <w:vAlign w:val="bottom"/>
            <w:gridSpan w:val="13"/>
          </w:tcPr>
          <w:p>
            <w:pPr>
              <w:spacing w:after="0"/>
              <w:rPr>
                <w:rFonts w:ascii="Times New Roman" w:cs="Times New Roman" w:eastAsia="Times New Roman" w:hAnsi="Times New Roman"/>
                <w:sz w:val="18"/>
                <w:szCs w:val="18"/>
                <w:color w:val="0000EE"/>
              </w:rPr>
            </w:pPr>
            <w:hyperlink r:id="rId62">
              <w:r>
                <w:rPr>
                  <w:rFonts w:ascii="Times New Roman" w:cs="Times New Roman" w:eastAsia="Times New Roman" w:hAnsi="Times New Roman"/>
                  <w:sz w:val="18"/>
                  <w:szCs w:val="18"/>
                  <w:color w:val="0000EE"/>
                </w:rPr>
                <w:t xml:space="preserve">Exclusive License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w:t>
            </w:r>
          </w:p>
        </w:tc>
      </w:tr>
      <w:tr>
        <w:trPr>
          <w:trHeight w:val="237"/>
        </w:trPr>
        <w:tc>
          <w:tcPr>
            <w:tcW w:w="3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940" w:type="dxa"/>
            <w:vAlign w:val="bottom"/>
            <w:tcBorders>
              <w:top w:val="single" w:sz="8" w:color="0000EE"/>
            </w:tcBorders>
            <w:gridSpan w:val="7"/>
          </w:tcPr>
          <w:p>
            <w:pPr>
              <w:spacing w:after="0"/>
              <w:rPr>
                <w:sz w:val="20"/>
                <w:szCs w:val="20"/>
                <w:color w:val="auto"/>
              </w:rPr>
            </w:pPr>
            <w:r>
              <w:rPr>
                <w:rFonts w:ascii="Times New Roman" w:cs="Times New Roman" w:eastAsia="Times New Roman" w:hAnsi="Times New Roman"/>
                <w:sz w:val="18"/>
                <w:szCs w:val="18"/>
                <w:color w:val="auto"/>
              </w:rPr>
              <w:t>10.1 to the Current Report on Form 8-K filed with the Commission on July 30, 2024)</w:t>
            </w:r>
          </w:p>
        </w:tc>
        <w:tc>
          <w:tcPr>
            <w:tcW w:w="2940" w:type="dxa"/>
            <w:vAlign w:val="bottom"/>
            <w:gridSpan w:val="6"/>
          </w:tcPr>
          <w:p>
            <w:pPr>
              <w:spacing w:after="0"/>
              <w:rPr>
                <w:sz w:val="20"/>
                <w:szCs w:val="20"/>
                <w:color w:val="auto"/>
              </w:rPr>
            </w:pPr>
          </w:p>
        </w:tc>
      </w:tr>
      <w:tr>
        <w:trPr>
          <w:trHeight w:val="391"/>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10.24</w:t>
            </w:r>
          </w:p>
        </w:tc>
        <w:tc>
          <w:tcPr>
            <w:tcW w:w="120" w:type="dxa"/>
            <w:vAlign w:val="bottom"/>
          </w:tcPr>
          <w:p>
            <w:pPr>
              <w:spacing w:after="0"/>
              <w:rPr>
                <w:sz w:val="24"/>
                <w:szCs w:val="24"/>
                <w:color w:val="auto"/>
              </w:rPr>
            </w:pPr>
          </w:p>
        </w:tc>
        <w:tc>
          <w:tcPr>
            <w:tcW w:w="9880" w:type="dxa"/>
            <w:vAlign w:val="bottom"/>
            <w:gridSpan w:val="13"/>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Stock Purchase Agreement between CNS Pharmaceuticals, Inc. and Cortice Biosciences,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10.2</w:t>
            </w:r>
          </w:p>
        </w:tc>
      </w:tr>
      <w:tr>
        <w:trPr>
          <w:trHeight w:val="237"/>
        </w:trPr>
        <w:tc>
          <w:tcPr>
            <w:tcW w:w="3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720" w:type="dxa"/>
            <w:vAlign w:val="bottom"/>
            <w:tcBorders>
              <w:top w:val="single" w:sz="8" w:color="0000EE"/>
            </w:tcBorders>
            <w:gridSpan w:val="6"/>
          </w:tcPr>
          <w:p>
            <w:pPr>
              <w:spacing w:after="0"/>
              <w:rPr>
                <w:sz w:val="20"/>
                <w:szCs w:val="20"/>
                <w:color w:val="auto"/>
              </w:rPr>
            </w:pPr>
            <w:r>
              <w:rPr>
                <w:rFonts w:ascii="Times New Roman" w:cs="Times New Roman" w:eastAsia="Times New Roman" w:hAnsi="Times New Roman"/>
                <w:sz w:val="18"/>
                <w:szCs w:val="18"/>
                <w:color w:val="auto"/>
              </w:rPr>
              <w:t>to the Current Report on Form 8-K filed with the Commission on July 30, 2024)</w:t>
            </w:r>
          </w:p>
        </w:tc>
        <w:tc>
          <w:tcPr>
            <w:tcW w:w="3160" w:type="dxa"/>
            <w:vAlign w:val="bottom"/>
            <w:gridSpan w:val="7"/>
          </w:tcPr>
          <w:p>
            <w:pPr>
              <w:spacing w:after="0"/>
              <w:rPr>
                <w:sz w:val="20"/>
                <w:szCs w:val="20"/>
                <w:color w:val="auto"/>
              </w:rPr>
            </w:pPr>
          </w:p>
        </w:tc>
      </w:tr>
      <w:tr>
        <w:trPr>
          <w:trHeight w:val="39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10.25</w:t>
            </w:r>
          </w:p>
        </w:tc>
        <w:tc>
          <w:tcPr>
            <w:tcW w:w="120" w:type="dxa"/>
            <w:vAlign w:val="bottom"/>
          </w:tcPr>
          <w:p>
            <w:pPr>
              <w:spacing w:after="0"/>
              <w:rPr>
                <w:sz w:val="24"/>
                <w:szCs w:val="24"/>
                <w:color w:val="auto"/>
              </w:rPr>
            </w:pPr>
          </w:p>
        </w:tc>
        <w:tc>
          <w:tcPr>
            <w:tcW w:w="9880" w:type="dxa"/>
            <w:vAlign w:val="bottom"/>
            <w:gridSpan w:val="13"/>
          </w:tcPr>
          <w:p>
            <w:pPr>
              <w:spacing w:after="0"/>
              <w:rPr>
                <w:rFonts w:ascii="Times New Roman" w:cs="Times New Roman" w:eastAsia="Times New Roman" w:hAnsi="Times New Roman"/>
                <w:sz w:val="18"/>
                <w:szCs w:val="18"/>
                <w:color w:val="0000FF"/>
              </w:rPr>
            </w:pPr>
            <w:hyperlink r:id="rId31">
              <w:r>
                <w:rPr>
                  <w:rFonts w:ascii="Times New Roman" w:cs="Times New Roman" w:eastAsia="Times New Roman" w:hAnsi="Times New Roman"/>
                  <w:sz w:val="18"/>
                  <w:szCs w:val="18"/>
                  <w:color w:val="0000FF"/>
                </w:rPr>
                <w:t xml:space="preserve">Form of Securities Purchase Agreement in October 23 2024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FF"/>
              </w:rPr>
              <w:t xml:space="preserve"> </w:t>
            </w:r>
            <w:r>
              <w:rPr>
                <w:rFonts w:ascii="Times New Roman" w:cs="Times New Roman" w:eastAsia="Times New Roman" w:hAnsi="Times New Roman"/>
                <w:sz w:val="18"/>
                <w:szCs w:val="18"/>
                <w:color w:val="000000"/>
              </w:rPr>
              <w:t>(incorporated by reference to Exhibit 10.1 to the Current Report on</w:t>
            </w:r>
          </w:p>
        </w:tc>
      </w:tr>
      <w:tr>
        <w:trPr>
          <w:trHeight w:val="237"/>
        </w:trPr>
        <w:tc>
          <w:tcPr>
            <w:tcW w:w="3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32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auto"/>
              </w:rPr>
              <w:t>Form 8-K filed with the Commission on October 24, 2024)</w:t>
            </w:r>
          </w:p>
        </w:tc>
        <w:tc>
          <w:tcPr>
            <w:tcW w:w="5560" w:type="dxa"/>
            <w:vAlign w:val="bottom"/>
            <w:gridSpan w:val="8"/>
          </w:tcPr>
          <w:p>
            <w:pPr>
              <w:spacing w:after="0"/>
              <w:rPr>
                <w:sz w:val="20"/>
                <w:szCs w:val="20"/>
                <w:color w:val="auto"/>
              </w:rPr>
            </w:pPr>
          </w:p>
        </w:tc>
      </w:tr>
      <w:tr>
        <w:trPr>
          <w:trHeight w:val="39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10.26</w:t>
            </w:r>
          </w:p>
        </w:tc>
        <w:tc>
          <w:tcPr>
            <w:tcW w:w="120" w:type="dxa"/>
            <w:vAlign w:val="bottom"/>
          </w:tcPr>
          <w:p>
            <w:pPr>
              <w:spacing w:after="0"/>
              <w:rPr>
                <w:sz w:val="24"/>
                <w:szCs w:val="24"/>
                <w:color w:val="auto"/>
              </w:rPr>
            </w:pPr>
          </w:p>
        </w:tc>
        <w:tc>
          <w:tcPr>
            <w:tcW w:w="9880" w:type="dxa"/>
            <w:vAlign w:val="bottom"/>
            <w:gridSpan w:val="13"/>
          </w:tcPr>
          <w:p>
            <w:pPr>
              <w:spacing w:after="0"/>
              <w:rPr>
                <w:rFonts w:ascii="Times New Roman" w:cs="Times New Roman" w:eastAsia="Times New Roman" w:hAnsi="Times New Roman"/>
                <w:sz w:val="18"/>
                <w:szCs w:val="18"/>
                <w:color w:val="0000EE"/>
              </w:rPr>
            </w:pPr>
            <w:hyperlink r:id="rId64">
              <w:r>
                <w:rPr>
                  <w:rFonts w:ascii="Times New Roman" w:cs="Times New Roman" w:eastAsia="Times New Roman" w:hAnsi="Times New Roman"/>
                  <w:sz w:val="18"/>
                  <w:szCs w:val="18"/>
                  <w:color w:val="0000EE"/>
                </w:rPr>
                <w:t xml:space="preserve">Placement Agency Agreement between CNS Pharmaceuticals, Inc. and A.G.P./Alliance Global Partners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3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48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Exhibit 1.1 to the Current Report on Form 8-K filed with the Commission on October 24, 2024)</w:t>
            </w:r>
          </w:p>
        </w:tc>
        <w:tc>
          <w:tcPr>
            <w:tcW w:w="2400" w:type="dxa"/>
            <w:vAlign w:val="bottom"/>
            <w:gridSpan w:val="5"/>
          </w:tcPr>
          <w:p>
            <w:pPr>
              <w:spacing w:after="0"/>
              <w:rPr>
                <w:sz w:val="20"/>
                <w:szCs w:val="20"/>
                <w:color w:val="auto"/>
              </w:rPr>
            </w:pPr>
          </w:p>
        </w:tc>
      </w:tr>
      <w:tr>
        <w:trPr>
          <w:trHeight w:val="391"/>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19.1</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1620" w:type="dxa"/>
            <w:vAlign w:val="bottom"/>
            <w:tcBorders>
              <w:bottom w:val="single" w:sz="8" w:color="0000EE"/>
            </w:tcBorders>
          </w:tcPr>
          <w:p>
            <w:pPr>
              <w:spacing w:after="0"/>
              <w:rPr>
                <w:rFonts w:ascii="Times New Roman" w:cs="Times New Roman" w:eastAsia="Times New Roman" w:hAnsi="Times New Roman"/>
                <w:sz w:val="18"/>
                <w:szCs w:val="18"/>
                <w:color w:val="0000EE"/>
                <w:w w:val="98"/>
              </w:rPr>
            </w:pPr>
            <w:hyperlink r:id="rId65">
              <w:r>
                <w:rPr>
                  <w:rFonts w:ascii="Times New Roman" w:cs="Times New Roman" w:eastAsia="Times New Roman" w:hAnsi="Times New Roman"/>
                  <w:sz w:val="18"/>
                  <w:szCs w:val="18"/>
                  <w:color w:val="0000EE"/>
                  <w:w w:val="98"/>
                </w:rPr>
                <w:t>Insider Trading Policy</w:t>
              </w:r>
            </w:hyperlink>
          </w:p>
        </w:tc>
        <w:tc>
          <w:tcPr>
            <w:tcW w:w="8260" w:type="dxa"/>
            <w:vAlign w:val="bottom"/>
            <w:gridSpan w:val="12"/>
          </w:tcPr>
          <w:p>
            <w:pPr>
              <w:spacing w:after="0"/>
              <w:rPr>
                <w:sz w:val="24"/>
                <w:szCs w:val="24"/>
                <w:color w:val="auto"/>
              </w:rPr>
            </w:pPr>
          </w:p>
        </w:tc>
      </w:tr>
      <w:tr>
        <w:trPr>
          <w:trHeight w:val="412"/>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2220" w:type="dxa"/>
            <w:vAlign w:val="bottom"/>
            <w:tcBorders>
              <w:bottom w:val="single" w:sz="8" w:color="0000EE"/>
            </w:tcBorders>
            <w:gridSpan w:val="4"/>
          </w:tcPr>
          <w:p>
            <w:pPr>
              <w:spacing w:after="0"/>
              <w:rPr>
                <w:rFonts w:ascii="Times New Roman" w:cs="Times New Roman" w:eastAsia="Times New Roman" w:hAnsi="Times New Roman"/>
                <w:sz w:val="18"/>
                <w:szCs w:val="18"/>
                <w:color w:val="0000EE"/>
                <w:w w:val="99"/>
              </w:rPr>
            </w:pPr>
            <w:hyperlink r:id="rId66">
              <w:r>
                <w:rPr>
                  <w:rFonts w:ascii="Times New Roman" w:cs="Times New Roman" w:eastAsia="Times New Roman" w:hAnsi="Times New Roman"/>
                  <w:sz w:val="18"/>
                  <w:szCs w:val="18"/>
                  <w:color w:val="0000EE"/>
                  <w:w w:val="99"/>
                </w:rPr>
                <w:t>Consent of MaloneBailey LLP</w:t>
              </w:r>
            </w:hyperlink>
          </w:p>
        </w:tc>
        <w:tc>
          <w:tcPr>
            <w:tcW w:w="7660" w:type="dxa"/>
            <w:vAlign w:val="bottom"/>
            <w:gridSpan w:val="9"/>
          </w:tcPr>
          <w:p>
            <w:pPr>
              <w:spacing w:after="0"/>
              <w:rPr>
                <w:sz w:val="24"/>
                <w:szCs w:val="24"/>
                <w:color w:val="auto"/>
              </w:rPr>
            </w:pPr>
          </w:p>
        </w:tc>
      </w:tr>
      <w:tr>
        <w:trPr>
          <w:trHeight w:val="412"/>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31.1</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9880" w:type="dxa"/>
            <w:vAlign w:val="bottom"/>
            <w:gridSpan w:val="13"/>
          </w:tcPr>
          <w:p>
            <w:pPr>
              <w:spacing w:after="0"/>
              <w:rPr>
                <w:sz w:val="20"/>
                <w:szCs w:val="20"/>
                <w:color w:val="auto"/>
              </w:rPr>
            </w:pPr>
            <w:r>
              <w:rPr>
                <w:rFonts w:ascii="Times New Roman" w:cs="Times New Roman" w:eastAsia="Times New Roman" w:hAnsi="Times New Roman"/>
                <w:sz w:val="18"/>
                <w:szCs w:val="18"/>
                <w:color w:val="0000FF"/>
              </w:rPr>
              <w:t>Certification of Principal Executive Officer pursuant to Rule 13a-14 of the Securities Exchange Act of 1934, as amended</w:t>
            </w:r>
          </w:p>
        </w:tc>
      </w:tr>
      <w:tr>
        <w:trPr>
          <w:trHeight w:val="412"/>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31.2</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8660" w:type="dxa"/>
            <w:vAlign w:val="bottom"/>
            <w:tcBorders>
              <w:top w:val="single" w:sz="8" w:color="0000EE"/>
              <w:bottom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0000FF"/>
                <w:w w:val="99"/>
              </w:rPr>
              <w:t>Certification of Principal Financial Officer pursuant to Rule 13a-14 of the Securities Exchange Act of 1934, as amended</w:t>
            </w:r>
          </w:p>
        </w:tc>
        <w:tc>
          <w:tcPr>
            <w:tcW w:w="40" w:type="dxa"/>
            <w:vAlign w:val="bottom"/>
            <w:tcBorders>
              <w:top w:val="single" w:sz="8" w:color="0000EE"/>
            </w:tcBorders>
          </w:tcPr>
          <w:p>
            <w:pPr>
              <w:spacing w:after="0"/>
              <w:rPr>
                <w:sz w:val="24"/>
                <w:szCs w:val="24"/>
                <w:color w:val="auto"/>
              </w:rPr>
            </w:pPr>
          </w:p>
        </w:tc>
        <w:tc>
          <w:tcPr>
            <w:tcW w:w="1180" w:type="dxa"/>
            <w:vAlign w:val="bottom"/>
            <w:gridSpan w:val="3"/>
          </w:tcPr>
          <w:p>
            <w:pPr>
              <w:spacing w:after="0"/>
              <w:rPr>
                <w:sz w:val="24"/>
                <w:szCs w:val="24"/>
                <w:color w:val="auto"/>
              </w:rPr>
            </w:pPr>
          </w:p>
        </w:tc>
      </w:tr>
      <w:tr>
        <w:trPr>
          <w:trHeight w:val="412"/>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32.1</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9440" w:type="dxa"/>
            <w:vAlign w:val="bottom"/>
            <w:tcBorders>
              <w:bottom w:val="single" w:sz="8" w:color="0000EE"/>
            </w:tcBorders>
            <w:gridSpan w:val="12"/>
          </w:tcPr>
          <w:p>
            <w:pPr>
              <w:spacing w:after="0"/>
              <w:rPr>
                <w:rFonts w:ascii="Times New Roman" w:cs="Times New Roman" w:eastAsia="Times New Roman" w:hAnsi="Times New Roman"/>
                <w:sz w:val="18"/>
                <w:szCs w:val="18"/>
                <w:color w:val="0000FF"/>
                <w:w w:val="99"/>
              </w:rPr>
            </w:pPr>
            <w:hyperlink r:id="rId67">
              <w:r>
                <w:rPr>
                  <w:rFonts w:ascii="Times New Roman" w:cs="Times New Roman" w:eastAsia="Times New Roman" w:hAnsi="Times New Roman"/>
                  <w:sz w:val="18"/>
                  <w:szCs w:val="18"/>
                  <w:color w:val="0000FF"/>
                  <w:w w:val="99"/>
                </w:rPr>
                <w:t>Certification of Principal Executive Officer Pursuant to Section 18 U.S.C. Section 1350, as Adopted Pursuant to Section 906 of the</w:t>
              </w:r>
            </w:hyperlink>
          </w:p>
        </w:tc>
        <w:tc>
          <w:tcPr>
            <w:tcW w:w="440" w:type="dxa"/>
            <w:vAlign w:val="bottom"/>
          </w:tcPr>
          <w:p>
            <w:pPr>
              <w:spacing w:after="0"/>
              <w:rPr>
                <w:sz w:val="24"/>
                <w:szCs w:val="24"/>
                <w:color w:val="auto"/>
              </w:rPr>
            </w:pPr>
          </w:p>
        </w:tc>
      </w:tr>
      <w:tr>
        <w:trPr>
          <w:trHeight w:val="196"/>
        </w:trPr>
        <w:tc>
          <w:tcPr>
            <w:tcW w:w="34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60" w:type="dxa"/>
            <w:vAlign w:val="bottom"/>
            <w:tcBorders>
              <w:bottom w:val="single" w:sz="8" w:color="0000EE"/>
            </w:tcBorders>
            <w:gridSpan w:val="2"/>
          </w:tcPr>
          <w:p>
            <w:pPr>
              <w:spacing w:after="0" w:line="196" w:lineRule="exact"/>
              <w:rPr>
                <w:rFonts w:ascii="Times New Roman" w:cs="Times New Roman" w:eastAsia="Times New Roman" w:hAnsi="Times New Roman"/>
                <w:sz w:val="18"/>
                <w:szCs w:val="18"/>
                <w:color w:val="0000FF"/>
                <w:w w:val="99"/>
              </w:rPr>
            </w:pPr>
            <w:hyperlink r:id="rId67">
              <w:r>
                <w:rPr>
                  <w:rFonts w:ascii="Times New Roman" w:cs="Times New Roman" w:eastAsia="Times New Roman" w:hAnsi="Times New Roman"/>
                  <w:sz w:val="18"/>
                  <w:szCs w:val="18"/>
                  <w:color w:val="0000FF"/>
                  <w:w w:val="99"/>
                </w:rPr>
                <w:t>Sarbanes-Oxley Act of 2002</w:t>
              </w:r>
            </w:hyperlink>
          </w:p>
        </w:tc>
        <w:tc>
          <w:tcPr>
            <w:tcW w:w="7820" w:type="dxa"/>
            <w:vAlign w:val="bottom"/>
            <w:gridSpan w:val="11"/>
          </w:tcPr>
          <w:p>
            <w:pPr>
              <w:spacing w:after="0"/>
              <w:rPr>
                <w:sz w:val="17"/>
                <w:szCs w:val="17"/>
                <w:color w:val="auto"/>
              </w:rPr>
            </w:pPr>
          </w:p>
        </w:tc>
      </w:tr>
      <w:tr>
        <w:trPr>
          <w:trHeight w:val="412"/>
        </w:trPr>
        <w:tc>
          <w:tcPr>
            <w:tcW w:w="340" w:type="dxa"/>
            <w:vAlign w:val="bottom"/>
          </w:tcPr>
          <w:p>
            <w:pPr>
              <w:spacing w:after="0"/>
              <w:rPr>
                <w:sz w:val="20"/>
                <w:szCs w:val="20"/>
                <w:color w:val="auto"/>
              </w:rPr>
            </w:pPr>
            <w:r>
              <w:rPr>
                <w:rFonts w:ascii="Times New Roman" w:cs="Times New Roman" w:eastAsia="Times New Roman" w:hAnsi="Times New Roman"/>
                <w:sz w:val="18"/>
                <w:szCs w:val="18"/>
                <w:color w:val="auto"/>
              </w:rPr>
              <w:t>32.2</w:t>
            </w:r>
          </w:p>
        </w:tc>
        <w:tc>
          <w:tcPr>
            <w:tcW w:w="90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4"/>
                <w:szCs w:val="24"/>
                <w:color w:val="auto"/>
              </w:rPr>
            </w:pPr>
          </w:p>
        </w:tc>
        <w:tc>
          <w:tcPr>
            <w:tcW w:w="9880" w:type="dxa"/>
            <w:vAlign w:val="bottom"/>
            <w:gridSpan w:val="13"/>
          </w:tcPr>
          <w:p>
            <w:pPr>
              <w:spacing w:after="0"/>
              <w:rPr>
                <w:rFonts w:ascii="Times New Roman" w:cs="Times New Roman" w:eastAsia="Times New Roman" w:hAnsi="Times New Roman"/>
                <w:sz w:val="18"/>
                <w:szCs w:val="18"/>
                <w:color w:val="0000FF"/>
              </w:rPr>
            </w:pPr>
            <w:hyperlink r:id="rId68">
              <w:r>
                <w:rPr>
                  <w:rFonts w:ascii="Times New Roman" w:cs="Times New Roman" w:eastAsia="Times New Roman" w:hAnsi="Times New Roman"/>
                  <w:sz w:val="18"/>
                  <w:szCs w:val="18"/>
                  <w:color w:val="0000FF"/>
                </w:rPr>
                <w:t>Certification of Principal Financial Officer Pursuant to Section 18 U.S.C. Section 1350, as Adopted Pursuant to Section 906 of the</w:t>
              </w:r>
            </w:hyperlink>
          </w:p>
        </w:tc>
      </w:tr>
      <w:tr>
        <w:trPr>
          <w:trHeight w:val="196"/>
        </w:trPr>
        <w:tc>
          <w:tcPr>
            <w:tcW w:w="34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060" w:type="dxa"/>
            <w:vAlign w:val="bottom"/>
            <w:tcBorders>
              <w:top w:val="single" w:sz="8" w:color="0000EE"/>
              <w:bottom w:val="single" w:sz="8" w:color="0000EE"/>
            </w:tcBorders>
            <w:gridSpan w:val="2"/>
          </w:tcPr>
          <w:p>
            <w:pPr>
              <w:spacing w:after="0" w:line="196" w:lineRule="exact"/>
              <w:rPr>
                <w:rFonts w:ascii="Times New Roman" w:cs="Times New Roman" w:eastAsia="Times New Roman" w:hAnsi="Times New Roman"/>
                <w:sz w:val="18"/>
                <w:szCs w:val="18"/>
                <w:color w:val="0000FF"/>
                <w:w w:val="99"/>
              </w:rPr>
            </w:pPr>
            <w:hyperlink r:id="rId68">
              <w:r>
                <w:rPr>
                  <w:rFonts w:ascii="Times New Roman" w:cs="Times New Roman" w:eastAsia="Times New Roman" w:hAnsi="Times New Roman"/>
                  <w:sz w:val="18"/>
                  <w:szCs w:val="18"/>
                  <w:color w:val="0000FF"/>
                  <w:w w:val="99"/>
                </w:rPr>
                <w:t>Sarbanes-Oxley Act of 2002</w:t>
              </w:r>
            </w:hyperlink>
          </w:p>
        </w:tc>
        <w:tc>
          <w:tcPr>
            <w:tcW w:w="7320" w:type="dxa"/>
            <w:vAlign w:val="bottom"/>
            <w:tcBorders>
              <w:top w:val="single" w:sz="8" w:color="0000EE"/>
            </w:tcBorders>
            <w:gridSpan w:val="9"/>
          </w:tcPr>
          <w:p>
            <w:pPr>
              <w:spacing w:after="0"/>
              <w:rPr>
                <w:sz w:val="17"/>
                <w:szCs w:val="17"/>
                <w:color w:val="auto"/>
              </w:rPr>
            </w:pPr>
          </w:p>
        </w:tc>
        <w:tc>
          <w:tcPr>
            <w:tcW w:w="500" w:type="dxa"/>
            <w:vAlign w:val="bottom"/>
            <w:gridSpan w:val="2"/>
          </w:tcPr>
          <w:p>
            <w:pPr>
              <w:spacing w:after="0"/>
              <w:rPr>
                <w:sz w:val="17"/>
                <w:szCs w:val="17"/>
                <w:color w:val="auto"/>
              </w:rPr>
            </w:pPr>
          </w:p>
        </w:tc>
      </w:tr>
    </w:tbl>
    <w:p>
      <w:pPr>
        <w:spacing w:after="0" w:line="225" w:lineRule="exact"/>
        <w:rPr>
          <w:sz w:val="20"/>
          <w:szCs w:val="20"/>
          <w:color w:val="auto"/>
        </w:rPr>
      </w:pPr>
    </w:p>
    <w:p>
      <w:pPr>
        <w:ind w:left="1360" w:right="100" w:hanging="1352"/>
        <w:spacing w:after="0" w:line="282" w:lineRule="auto"/>
        <w:tabs>
          <w:tab w:leader="none" w:pos="1360" w:val="left"/>
        </w:tabs>
        <w:numPr>
          <w:ilvl w:val="0"/>
          <w:numId w:val="11"/>
        </w:numPr>
        <w:rPr>
          <w:rFonts w:ascii="Times New Roman" w:cs="Times New Roman" w:eastAsia="Times New Roman" w:hAnsi="Times New Roman"/>
          <w:sz w:val="18"/>
          <w:szCs w:val="18"/>
          <w:color w:val="0000EE"/>
        </w:rPr>
      </w:pPr>
      <w:hyperlink r:id="rId69">
        <w:r>
          <w:rPr>
            <w:rFonts w:ascii="Times New Roman" w:cs="Times New Roman" w:eastAsia="Times New Roman" w:hAnsi="Times New Roman"/>
            <w:sz w:val="18"/>
            <w:szCs w:val="18"/>
            <w:u w:val="single" w:color="auto"/>
            <w:color w:val="0000EE"/>
          </w:rPr>
          <w:t>CNS Pharmaceuticals, Inc. Restatement Recoupment Policy</w:t>
        </w:r>
        <w:r>
          <w:rPr>
            <w:rFonts w:ascii="Times New Roman" w:cs="Times New Roman" w:eastAsia="Times New Roman" w:hAnsi="Times New Roman"/>
            <w:sz w:val="18"/>
            <w:szCs w:val="18"/>
            <w:color w:val="0000EE"/>
          </w:rPr>
          <w:t xml:space="preserve">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97 to the Annual Report on Form 10-K filed with the Commission on April 1, 2024)</w:t>
      </w:r>
    </w:p>
    <w:p>
      <w:pPr>
        <w:spacing w:after="0" w:line="16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w w:val="99"/>
              </w:rPr>
              <w:t>Inline XBRL Instance Document (the instance document does not appear in the Interactive Data File because its XBRL tags are</w:t>
            </w:r>
          </w:p>
        </w:tc>
      </w:tr>
      <w:tr>
        <w:trPr>
          <w:trHeight w:val="216"/>
        </w:trPr>
        <w:tc>
          <w:tcPr>
            <w:tcW w:w="1020" w:type="dxa"/>
            <w:vAlign w:val="bottom"/>
          </w:tcPr>
          <w:p>
            <w:pPr>
              <w:spacing w:after="0"/>
              <w:rPr>
                <w:sz w:val="18"/>
                <w:szCs w:val="18"/>
                <w:color w:val="auto"/>
              </w:rPr>
            </w:pP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embedded within the Inline XBRL document)**</w:t>
            </w:r>
          </w:p>
        </w:tc>
      </w:tr>
      <w:tr>
        <w:trPr>
          <w:trHeight w:val="216"/>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101.XSD</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Inline XBRL Taxonomy Extension Schema Document**</w:t>
            </w:r>
          </w:p>
        </w:tc>
      </w:tr>
      <w:tr>
        <w:trPr>
          <w:trHeight w:val="216"/>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Inline XBRL Taxonomy Extension Definition Linkbase Document**</w:t>
            </w:r>
          </w:p>
        </w:tc>
      </w:tr>
      <w:tr>
        <w:trPr>
          <w:trHeight w:val="216"/>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Inline XBRL Taxonomy Extension Label Linkbase Document**</w:t>
            </w:r>
          </w:p>
        </w:tc>
      </w:tr>
      <w:tr>
        <w:trPr>
          <w:trHeight w:val="216"/>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Inline XBRL Taxonomy Extension Presentation Linkbase Document**</w:t>
            </w:r>
          </w:p>
        </w:tc>
      </w:tr>
      <w:tr>
        <w:trPr>
          <w:trHeight w:val="234"/>
        </w:trPr>
        <w:tc>
          <w:tcPr>
            <w:tcW w:w="102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9540" w:type="dxa"/>
            <w:vAlign w:val="bottom"/>
          </w:tcPr>
          <w:p>
            <w:pPr>
              <w:ind w:left="340"/>
              <w:spacing w:after="0"/>
              <w:rPr>
                <w:sz w:val="20"/>
                <w:szCs w:val="20"/>
                <w:color w:val="auto"/>
              </w:rPr>
            </w:pPr>
            <w:r>
              <w:rPr>
                <w:rFonts w:ascii="Times New Roman" w:cs="Times New Roman" w:eastAsia="Times New Roman" w:hAnsi="Times New Roman"/>
                <w:sz w:val="18"/>
                <w:szCs w:val="18"/>
                <w:color w:val="auto"/>
              </w:rPr>
              <w:t>Cover Page Interactive Data File (embedded within the Inline XBRL document)</w:t>
            </w:r>
          </w:p>
        </w:tc>
      </w:tr>
    </w:tbl>
    <w:p>
      <w:pPr>
        <w:spacing w:after="0" w:line="198" w:lineRule="exact"/>
        <w:rPr>
          <w:sz w:val="20"/>
          <w:szCs w:val="20"/>
          <w:color w:val="auto"/>
        </w:rPr>
      </w:pPr>
    </w:p>
    <w:p>
      <w:pPr>
        <w:ind w:left="660" w:hanging="652"/>
        <w:spacing w:after="0"/>
        <w:tabs>
          <w:tab w:leader="none" w:pos="66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Previously filed.</w:t>
      </w:r>
    </w:p>
    <w:p>
      <w:pPr>
        <w:spacing w:after="0" w:line="27" w:lineRule="exact"/>
        <w:rPr>
          <w:sz w:val="20"/>
          <w:szCs w:val="20"/>
          <w:color w:val="auto"/>
        </w:rPr>
      </w:pPr>
    </w:p>
    <w:p>
      <w:pPr>
        <w:ind w:left="660" w:hanging="652"/>
        <w:spacing w:after="0"/>
        <w:tabs>
          <w:tab w:leader="none" w:pos="6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Management contract or compensatory plan, contract or arrangement.</w:t>
      </w:r>
    </w:p>
    <w:p>
      <w:pPr>
        <w:spacing w:after="0" w:line="9"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9" w:lineRule="exact"/>
        <w:rPr>
          <w:sz w:val="20"/>
          <w:szCs w:val="20"/>
          <w:color w:val="auto"/>
        </w:rPr>
      </w:pPr>
    </w:p>
    <w:p>
      <w:pPr>
        <w:ind w:left="660" w:right="340" w:hanging="652"/>
        <w:spacing w:after="0" w:line="260" w:lineRule="auto"/>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Item 601(b)(10)(iv) of Regulation S-K promulgated by the SEC, certain portions of this exhibit have been redacted. The Company hereby agrees to furnish supplementally to the SEC, upon its request, an unredacted copy of this exhibit.</w:t>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22" w:name="page23"/>
    <w:bookmarkEnd w:id="22"/>
    <w:p>
      <w:pPr>
        <w:jc w:val="center"/>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Section 13 or 15(d) Securities Exchange Act of 1934, the Registrant has duly caused this Report to be signed on its behalf by the undersigned, thereunto duly authorized.</w:t>
      </w:r>
    </w:p>
    <w:p>
      <w:pPr>
        <w:spacing w:after="0" w:line="162"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25" w:lineRule="exact"/>
        <w:rPr>
          <w:sz w:val="20"/>
          <w:szCs w:val="20"/>
          <w:color w:val="auto"/>
        </w:rPr>
      </w:pPr>
    </w:p>
    <w:p>
      <w:pPr>
        <w:spacing w:after="0"/>
        <w:tabs>
          <w:tab w:leader="none" w:pos="5840" w:val="left"/>
          <w:tab w:leader="none" w:pos="8060" w:val="left"/>
        </w:tabs>
        <w:rPr>
          <w:sz w:val="20"/>
          <w:szCs w:val="20"/>
          <w:color w:val="auto"/>
        </w:rPr>
      </w:pPr>
      <w:r>
        <w:rPr>
          <w:rFonts w:ascii="Times New Roman" w:cs="Times New Roman" w:eastAsia="Times New Roman" w:hAnsi="Times New Roman"/>
          <w:sz w:val="18"/>
          <w:szCs w:val="18"/>
          <w:color w:val="auto"/>
        </w:rPr>
        <w:t>Date: April 30, 2025</w:t>
      </w:r>
      <w:r>
        <w:rPr>
          <w:sz w:val="20"/>
          <w:szCs w:val="20"/>
          <w:color w:val="auto"/>
        </w:rPr>
        <w:tab/>
      </w: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7"/>
          <w:szCs w:val="17"/>
          <w:color w:val="auto"/>
        </w:rPr>
        <w:t>/s/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3888105</wp:posOffset>
            </wp:positionH>
            <wp:positionV relativeFrom="paragraph">
              <wp:posOffset>17145</wp:posOffset>
            </wp:positionV>
            <wp:extent cx="3248660" cy="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extLst>
                    </a:blip>
                    <a:srcRect/>
                    <a:stretch>
                      <a:fillRect/>
                    </a:stretch>
                  </pic:blipFill>
                  <pic:spPr bwMode="auto">
                    <a:xfrm>
                      <a:off x="0" y="0"/>
                      <a:ext cx="3248660" cy="8255"/>
                    </a:xfrm>
                    <a:prstGeom prst="rect">
                      <a:avLst/>
                    </a:prstGeom>
                    <a:noFill/>
                  </pic:spPr>
                </pic:pic>
              </a:graphicData>
            </a:graphic>
          </wp:anchor>
        </w:drawing>
      </w:r>
    </w:p>
    <w:p>
      <w:pPr>
        <w:spacing w:after="0" w:line="7" w:lineRule="exact"/>
        <w:rPr>
          <w:sz w:val="20"/>
          <w:szCs w:val="20"/>
          <w:color w:val="auto"/>
        </w:rPr>
      </w:pPr>
    </w:p>
    <w:p>
      <w:pPr>
        <w:jc w:val="center"/>
        <w:ind w:left="6100"/>
        <w:spacing w:after="0"/>
        <w:rPr>
          <w:sz w:val="20"/>
          <w:szCs w:val="20"/>
          <w:color w:val="auto"/>
        </w:rPr>
      </w:pPr>
      <w:r>
        <w:rPr>
          <w:rFonts w:ascii="Times New Roman" w:cs="Times New Roman" w:eastAsia="Times New Roman" w:hAnsi="Times New Roman"/>
          <w:sz w:val="18"/>
          <w:szCs w:val="18"/>
          <w:b w:val="1"/>
          <w:bCs w:val="1"/>
          <w:color w:val="auto"/>
        </w:rPr>
        <w:t>John Climaco</w:t>
      </w:r>
    </w:p>
    <w:p>
      <w:pPr>
        <w:spacing w:after="0" w:line="23" w:lineRule="exact"/>
        <w:rPr>
          <w:sz w:val="20"/>
          <w:szCs w:val="20"/>
          <w:color w:val="auto"/>
        </w:rPr>
      </w:pPr>
    </w:p>
    <w:p>
      <w:pPr>
        <w:jc w:val="center"/>
        <w:ind w:left="6100"/>
        <w:spacing w:after="0"/>
        <w:rPr>
          <w:sz w:val="20"/>
          <w:szCs w:val="20"/>
          <w:color w:val="auto"/>
        </w:rPr>
      </w:pPr>
      <w:r>
        <w:rPr>
          <w:rFonts w:ascii="Times New Roman" w:cs="Times New Roman" w:eastAsia="Times New Roman" w:hAnsi="Times New Roman"/>
          <w:sz w:val="18"/>
          <w:szCs w:val="18"/>
          <w:b w:val="1"/>
          <w:bCs w:val="1"/>
          <w:color w:val="auto"/>
        </w:rPr>
        <w:t>Chief Executive Officer, President and Director</w:t>
      </w:r>
    </w:p>
    <w:p>
      <w:pPr>
        <w:spacing w:after="0" w:line="9" w:lineRule="exact"/>
        <w:rPr>
          <w:sz w:val="20"/>
          <w:szCs w:val="20"/>
          <w:color w:val="auto"/>
        </w:rPr>
      </w:pPr>
    </w:p>
    <w:p>
      <w:pPr>
        <w:jc w:val="center"/>
        <w:ind w:left="6100"/>
        <w:spacing w:after="0"/>
        <w:rPr>
          <w:sz w:val="20"/>
          <w:szCs w:val="20"/>
          <w:color w:val="auto"/>
        </w:rPr>
      </w:pPr>
      <w:r>
        <w:rPr>
          <w:rFonts w:ascii="Times New Roman" w:cs="Times New Roman" w:eastAsia="Times New Roman" w:hAnsi="Times New Roman"/>
          <w:sz w:val="18"/>
          <w:szCs w:val="18"/>
          <w:b w:val="1"/>
          <w:bCs w:val="1"/>
          <w:color w:val="auto"/>
        </w:rPr>
        <w:t>(Principal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right"/>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OFFICER</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John Climaco, certify that:</w:t>
      </w:r>
    </w:p>
    <w:p>
      <w:pPr>
        <w:spacing w:after="0" w:line="225" w:lineRule="exact"/>
        <w:rPr>
          <w:sz w:val="20"/>
          <w:szCs w:val="20"/>
          <w:color w:val="auto"/>
        </w:rPr>
      </w:pPr>
    </w:p>
    <w:p>
      <w:pPr>
        <w:ind w:left="340" w:hanging="332"/>
        <w:spacing w:after="0"/>
        <w:tabs>
          <w:tab w:leader="none" w:pos="3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1 to Form 10-K for the year ended December 31, 2024 of CNS Pharmaceuticals, Inc.;</w:t>
      </w:r>
    </w:p>
    <w:p>
      <w:pPr>
        <w:spacing w:after="0" w:line="225" w:lineRule="exact"/>
        <w:rPr>
          <w:rFonts w:ascii="Times New Roman" w:cs="Times New Roman" w:eastAsia="Times New Roman" w:hAnsi="Times New Roman"/>
          <w:sz w:val="18"/>
          <w:szCs w:val="18"/>
          <w:color w:val="auto"/>
        </w:rPr>
      </w:pPr>
    </w:p>
    <w:p>
      <w:pPr>
        <w:jc w:val="both"/>
        <w:ind w:left="340" w:right="440" w:hanging="332"/>
        <w:spacing w:after="0" w:line="266" w:lineRule="auto"/>
        <w:tabs>
          <w:tab w:leader="none" w:pos="3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392" w:lineRule="exact"/>
        <w:rPr>
          <w:sz w:val="20"/>
          <w:szCs w:val="20"/>
          <w:color w:val="auto"/>
        </w:rPr>
      </w:pPr>
    </w:p>
    <w:p>
      <w:pPr>
        <w:spacing w:after="0"/>
        <w:tabs>
          <w:tab w:leader="none" w:pos="5940" w:val="left"/>
          <w:tab w:leader="none" w:pos="8140" w:val="left"/>
        </w:tabs>
        <w:rPr>
          <w:sz w:val="20"/>
          <w:szCs w:val="20"/>
          <w:color w:val="auto"/>
        </w:rPr>
      </w:pPr>
      <w:r>
        <w:rPr>
          <w:rFonts w:ascii="Times New Roman" w:cs="Times New Roman" w:eastAsia="Times New Roman" w:hAnsi="Times New Roman"/>
          <w:sz w:val="18"/>
          <w:szCs w:val="18"/>
          <w:color w:val="auto"/>
        </w:rPr>
        <w:t>Date: April 30, 2025</w:t>
      </w:r>
      <w:r>
        <w:rPr>
          <w:sz w:val="20"/>
          <w:szCs w:val="20"/>
          <w:color w:val="auto"/>
        </w:rPr>
        <w:tab/>
      </w: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8"/>
          <w:szCs w:val="18"/>
          <w:color w:val="auto"/>
        </w:rPr>
        <w:t>/s/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3999865</wp:posOffset>
            </wp:positionH>
            <wp:positionV relativeFrom="paragraph">
              <wp:posOffset>17145</wp:posOffset>
            </wp:positionV>
            <wp:extent cx="3137535"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
                      <a:extLst>
                        <a:ext uri="{28A0092B-C50C-407E-A947-70E740481C1C}"/>
                      </a:extLst>
                    </a:blip>
                    <a:srcRect/>
                    <a:stretch>
                      <a:fillRect/>
                    </a:stretch>
                  </pic:blipFill>
                  <pic:spPr bwMode="auto">
                    <a:xfrm>
                      <a:off x="0" y="0"/>
                      <a:ext cx="3137535" cy="8890"/>
                    </a:xfrm>
                    <a:prstGeom prst="rect">
                      <a:avLst/>
                    </a:prstGeom>
                    <a:noFill/>
                  </pic:spPr>
                </pic:pic>
              </a:graphicData>
            </a:graphic>
          </wp:anchor>
        </w:drawing>
      </w:r>
    </w:p>
    <w:p>
      <w:pPr>
        <w:spacing w:after="0" w:line="7" w:lineRule="exact"/>
        <w:rPr>
          <w:sz w:val="20"/>
          <w:szCs w:val="20"/>
          <w:color w:val="auto"/>
        </w:rPr>
      </w:pPr>
    </w:p>
    <w:p>
      <w:pPr>
        <w:jc w:val="center"/>
        <w:ind w:left="6280"/>
        <w:spacing w:after="0"/>
        <w:rPr>
          <w:sz w:val="20"/>
          <w:szCs w:val="20"/>
          <w:color w:val="auto"/>
        </w:rPr>
      </w:pPr>
      <w:r>
        <w:rPr>
          <w:rFonts w:ascii="Times New Roman" w:cs="Times New Roman" w:eastAsia="Times New Roman" w:hAnsi="Times New Roman"/>
          <w:sz w:val="18"/>
          <w:szCs w:val="18"/>
          <w:b w:val="1"/>
          <w:bCs w:val="1"/>
          <w:color w:val="auto"/>
        </w:rPr>
        <w:t>John Climaco</w:t>
      </w:r>
    </w:p>
    <w:p>
      <w:pPr>
        <w:spacing w:after="0" w:line="23" w:lineRule="exact"/>
        <w:rPr>
          <w:sz w:val="20"/>
          <w:szCs w:val="20"/>
          <w:color w:val="auto"/>
        </w:rPr>
      </w:pPr>
    </w:p>
    <w:p>
      <w:pPr>
        <w:jc w:val="center"/>
        <w:ind w:left="6280"/>
        <w:spacing w:after="0"/>
        <w:rPr>
          <w:sz w:val="20"/>
          <w:szCs w:val="20"/>
          <w:color w:val="auto"/>
        </w:rPr>
      </w:pPr>
      <w:r>
        <w:rPr>
          <w:rFonts w:ascii="Times New Roman" w:cs="Times New Roman" w:eastAsia="Times New Roman" w:hAnsi="Times New Roman"/>
          <w:sz w:val="18"/>
          <w:szCs w:val="18"/>
          <w:b w:val="1"/>
          <w:bCs w:val="1"/>
          <w:color w:val="auto"/>
        </w:rPr>
        <w:t>Chief Executive Officer and President</w:t>
      </w:r>
    </w:p>
    <w:p>
      <w:pPr>
        <w:sectPr>
          <w:pgSz w:w="11900" w:h="16838" w:orient="portrait"/>
          <w:cols w:equalWidth="0" w:num="1">
            <w:col w:w="11240"/>
          </w:cols>
          <w:pgMar w:left="320" w:top="117" w:right="339" w:bottom="1440" w:gutter="0" w:footer="0" w:header="0"/>
        </w:sectPr>
      </w:pPr>
    </w:p>
    <w:bookmarkStart w:id="24" w:name="page25"/>
    <w:bookmarkEnd w:id="24"/>
    <w:p>
      <w:pPr>
        <w:jc w:val="right"/>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BY OFFICER</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Christopher Downs, certify that:</w:t>
      </w:r>
    </w:p>
    <w:p>
      <w:pPr>
        <w:spacing w:after="0" w:line="225" w:lineRule="exact"/>
        <w:rPr>
          <w:sz w:val="20"/>
          <w:szCs w:val="20"/>
          <w:color w:val="auto"/>
        </w:rPr>
      </w:pPr>
    </w:p>
    <w:p>
      <w:pPr>
        <w:ind w:left="340" w:hanging="332"/>
        <w:spacing w:after="0"/>
        <w:tabs>
          <w:tab w:leader="none" w:pos="3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Amendment No. 1 to Form 10-K for the year ended December 31, 2024 of CNS Pharmaceuticals, Inc.;</w:t>
      </w:r>
    </w:p>
    <w:p>
      <w:pPr>
        <w:spacing w:after="0" w:line="225" w:lineRule="exact"/>
        <w:rPr>
          <w:rFonts w:ascii="Times New Roman" w:cs="Times New Roman" w:eastAsia="Times New Roman" w:hAnsi="Times New Roman"/>
          <w:sz w:val="18"/>
          <w:szCs w:val="18"/>
          <w:color w:val="auto"/>
        </w:rPr>
      </w:pPr>
    </w:p>
    <w:p>
      <w:pPr>
        <w:jc w:val="both"/>
        <w:ind w:left="340" w:right="440" w:hanging="332"/>
        <w:spacing w:after="0" w:line="266" w:lineRule="auto"/>
        <w:tabs>
          <w:tab w:leader="none" w:pos="34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392" w:lineRule="exact"/>
        <w:rPr>
          <w:sz w:val="20"/>
          <w:szCs w:val="20"/>
          <w:color w:val="auto"/>
        </w:rPr>
      </w:pPr>
    </w:p>
    <w:p>
      <w:pPr>
        <w:spacing w:after="0"/>
        <w:tabs>
          <w:tab w:leader="none" w:pos="5940" w:val="left"/>
          <w:tab w:leader="none" w:pos="7940" w:val="left"/>
        </w:tabs>
        <w:rPr>
          <w:sz w:val="20"/>
          <w:szCs w:val="20"/>
          <w:color w:val="auto"/>
        </w:rPr>
      </w:pPr>
      <w:r>
        <w:rPr>
          <w:rFonts w:ascii="Times New Roman" w:cs="Times New Roman" w:eastAsia="Times New Roman" w:hAnsi="Times New Roman"/>
          <w:sz w:val="18"/>
          <w:szCs w:val="18"/>
          <w:color w:val="auto"/>
        </w:rPr>
        <w:t>Date: April 30, 2025</w:t>
      </w:r>
      <w:r>
        <w:rPr>
          <w:sz w:val="20"/>
          <w:szCs w:val="20"/>
          <w:color w:val="auto"/>
        </w:rPr>
        <w:tab/>
      </w:r>
      <w:r>
        <w:rPr>
          <w:rFonts w:ascii="Times New Roman" w:cs="Times New Roman" w:eastAsia="Times New Roman" w:hAnsi="Times New Roman"/>
          <w:sz w:val="18"/>
          <w:szCs w:val="18"/>
          <w:color w:val="auto"/>
        </w:rPr>
        <w:t>By:</w:t>
      </w:r>
      <w:r>
        <w:rPr>
          <w:sz w:val="20"/>
          <w:szCs w:val="20"/>
          <w:color w:val="auto"/>
        </w:rPr>
        <w:tab/>
      </w:r>
      <w:r>
        <w:rPr>
          <w:rFonts w:ascii="Times New Roman" w:cs="Times New Roman" w:eastAsia="Times New Roman" w:hAnsi="Times New Roman"/>
          <w:sz w:val="17"/>
          <w:szCs w:val="17"/>
          <w:color w:val="auto"/>
        </w:rPr>
        <w:t>/s/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3999865</wp:posOffset>
            </wp:positionH>
            <wp:positionV relativeFrom="paragraph">
              <wp:posOffset>17145</wp:posOffset>
            </wp:positionV>
            <wp:extent cx="3137535"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4">
                      <a:extLst>
                        <a:ext uri="{28A0092B-C50C-407E-A947-70E740481C1C}"/>
                      </a:extLst>
                    </a:blip>
                    <a:srcRect/>
                    <a:stretch>
                      <a:fillRect/>
                    </a:stretch>
                  </pic:blipFill>
                  <pic:spPr bwMode="auto">
                    <a:xfrm>
                      <a:off x="0" y="0"/>
                      <a:ext cx="3137535" cy="8890"/>
                    </a:xfrm>
                    <a:prstGeom prst="rect">
                      <a:avLst/>
                    </a:prstGeom>
                    <a:noFill/>
                  </pic:spPr>
                </pic:pic>
              </a:graphicData>
            </a:graphic>
          </wp:anchor>
        </w:drawing>
      </w:r>
    </w:p>
    <w:p>
      <w:pPr>
        <w:spacing w:after="0" w:line="7" w:lineRule="exact"/>
        <w:rPr>
          <w:sz w:val="20"/>
          <w:szCs w:val="20"/>
          <w:color w:val="auto"/>
        </w:rPr>
      </w:pPr>
    </w:p>
    <w:p>
      <w:pPr>
        <w:jc w:val="center"/>
        <w:ind w:left="6280"/>
        <w:spacing w:after="0"/>
        <w:rPr>
          <w:sz w:val="20"/>
          <w:szCs w:val="20"/>
          <w:color w:val="auto"/>
        </w:rPr>
      </w:pPr>
      <w:r>
        <w:rPr>
          <w:rFonts w:ascii="Times New Roman" w:cs="Times New Roman" w:eastAsia="Times New Roman" w:hAnsi="Times New Roman"/>
          <w:sz w:val="18"/>
          <w:szCs w:val="18"/>
          <w:b w:val="1"/>
          <w:bCs w:val="1"/>
          <w:color w:val="auto"/>
        </w:rPr>
        <w:t>Christopher Downs</w:t>
      </w:r>
    </w:p>
    <w:p>
      <w:pPr>
        <w:spacing w:after="0" w:line="23" w:lineRule="exact"/>
        <w:rPr>
          <w:sz w:val="20"/>
          <w:szCs w:val="20"/>
          <w:color w:val="auto"/>
        </w:rPr>
      </w:pPr>
    </w:p>
    <w:p>
      <w:pPr>
        <w:jc w:val="center"/>
        <w:ind w:left="6280"/>
        <w:spacing w:after="0"/>
        <w:rPr>
          <w:sz w:val="20"/>
          <w:szCs w:val="20"/>
          <w:color w:val="auto"/>
        </w:rPr>
      </w:pPr>
      <w:r>
        <w:rPr>
          <w:rFonts w:ascii="Times New Roman" w:cs="Times New Roman" w:eastAsia="Times New Roman" w:hAnsi="Times New Roman"/>
          <w:sz w:val="18"/>
          <w:szCs w:val="18"/>
          <w:b w:val="1"/>
          <w:bCs w:val="1"/>
          <w:color w:val="auto"/>
        </w:rPr>
        <w:t>Chief Financial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5BD062C2"/>
    <w:multiLevelType w:val="hybridMultilevel"/>
    <w:lvl w:ilvl="0">
      <w:lvlJc w:val="left"/>
      <w:lvlText w:val="☒"/>
      <w:numFmt w:val="bullet"/>
      <w:start w:val="1"/>
    </w:lvl>
  </w:abstractNum>
  <w:abstractNum w:abstractNumId="1">
    <w:nsid w:val="12200854"/>
    <w:multiLevelType w:val="hybridMultilevel"/>
    <w:lvl w:ilvl="0">
      <w:lvlJc w:val="left"/>
      <w:lvlText w:val="☐"/>
      <w:numFmt w:val="bullet"/>
      <w:start w:val="1"/>
    </w:lvl>
  </w:abstractNum>
  <w:abstractNum w:abstractNumId="2">
    <w:nsid w:val="4DB127F8"/>
    <w:multiLevelType w:val="hybridMultilevel"/>
    <w:lvl w:ilvl="0">
      <w:lvlJc w:val="left"/>
      <w:lvlText w:val="(%1)"/>
      <w:numFmt w:val="decimal"/>
      <w:start w:val="1"/>
    </w:lvl>
  </w:abstractNum>
  <w:abstractNum w:abstractNumId="3">
    <w:nsid w:val="216231B"/>
    <w:multiLevelType w:val="hybridMultilevel"/>
    <w:lvl w:ilvl="0">
      <w:lvlJc w:val="left"/>
      <w:lvlText w:val="(%1)"/>
      <w:numFmt w:val="decimal"/>
      <w:start w:val="1"/>
    </w:lvl>
    <w:lvl w:ilvl="1">
      <w:lvlJc w:val="left"/>
      <w:lvlText w:val="•"/>
      <w:numFmt w:val="bullet"/>
      <w:start w:val="1"/>
    </w:lvl>
  </w:abstractNum>
  <w:abstractNum w:abstractNumId="4">
    <w:nsid w:val="1F16E9E8"/>
    <w:multiLevelType w:val="hybridMultilevel"/>
    <w:lvl w:ilvl="0">
      <w:lvlJc w:val="left"/>
      <w:lvlText w:val="(%1)"/>
      <w:numFmt w:val="decimal"/>
      <w:start w:val="1"/>
    </w:lvl>
  </w:abstractNum>
  <w:abstractNum w:abstractNumId="5">
    <w:nsid w:val="1190CDE7"/>
    <w:multiLevelType w:val="hybridMultilevel"/>
    <w:lvl w:ilvl="0">
      <w:lvlJc w:val="left"/>
      <w:lvlText w:val="•"/>
      <w:numFmt w:val="bullet"/>
      <w:start w:val="1"/>
    </w:lvl>
  </w:abstractNum>
  <w:abstractNum w:abstractNumId="6">
    <w:nsid w:val="66EF438D"/>
    <w:multiLevelType w:val="hybridMultilevel"/>
    <w:lvl w:ilvl="0">
      <w:lvlJc w:val="left"/>
      <w:lvlText w:val="(%1)"/>
      <w:numFmt w:val="decimal"/>
      <w:start w:val="1"/>
    </w:lvl>
  </w:abstractNum>
  <w:abstractNum w:abstractNumId="7">
    <w:nsid w:val="140E0F76"/>
    <w:multiLevelType w:val="hybridMultilevel"/>
    <w:lvl w:ilvl="0">
      <w:lvlJc w:val="left"/>
      <w:lvlText w:val="(%1)"/>
      <w:numFmt w:val="decimal"/>
      <w:start w:val="4"/>
    </w:lvl>
  </w:abstractNum>
  <w:abstractNum w:abstractNumId="8">
    <w:nsid w:val="3352255A"/>
    <w:multiLevelType w:val="hybridMultilevel"/>
    <w:lvl w:ilvl="0">
      <w:lvlJc w:val="left"/>
      <w:lvlText w:val="(%1)"/>
      <w:numFmt w:val="decimal"/>
      <w:start w:val="1"/>
    </w:lvl>
  </w:abstractNum>
  <w:abstractNum w:abstractNumId="9">
    <w:nsid w:val="109CF92E"/>
    <w:multiLevelType w:val="hybridMultilevel"/>
    <w:lvl w:ilvl="0">
      <w:lvlJc w:val="left"/>
      <w:lvlText w:val="(%1)"/>
      <w:numFmt w:val="lowerLetter"/>
      <w:start w:val="1"/>
    </w:lvl>
    <w:lvl w:ilvl="1">
      <w:lvlJc w:val="left"/>
      <w:lvlText w:val="%2."/>
      <w:numFmt w:val="decimal"/>
      <w:start w:val="1"/>
    </w:lvl>
  </w:abstractNum>
  <w:abstractNum w:abstractNumId="10">
    <w:nsid w:val="DED7263"/>
    <w:multiLevelType w:val="hybridMultilevel"/>
    <w:lvl w:ilvl="0">
      <w:lvlJc w:val="left"/>
      <w:lvlText w:val="%1"/>
      <w:numFmt w:val="decimal"/>
      <w:start w:val="97"/>
    </w:lvl>
  </w:abstractNum>
  <w:abstractNum w:abstractNumId="11">
    <w:nsid w:val="7FDCC233"/>
    <w:multiLevelType w:val="hybridMultilevel"/>
    <w:lvl w:ilvl="0">
      <w:lvlJc w:val="left"/>
      <w:lvlText w:val="*"/>
      <w:numFmt w:val="bullet"/>
      <w:start w:val="1"/>
    </w:lvl>
  </w:abstractNum>
  <w:abstractNum w:abstractNumId="12">
    <w:nsid w:val="1BEFD79F"/>
    <w:multiLevelType w:val="hybridMultilevel"/>
    <w:lvl w:ilvl="0">
      <w:lvlJc w:val="left"/>
      <w:lvlText w:val="**"/>
      <w:numFmt w:val="bullet"/>
      <w:start w:val="1"/>
    </w:lvl>
  </w:abstractNum>
  <w:abstractNum w:abstractNumId="13">
    <w:nsid w:val="41A7C4C9"/>
    <w:multiLevelType w:val="hybridMultilevel"/>
    <w:lvl w:ilvl="0">
      <w:lvlJc w:val="left"/>
      <w:lvlText w:val="***"/>
      <w:numFmt w:val="bullet"/>
      <w:start w:val="1"/>
    </w:lvl>
  </w:abstractNum>
  <w:abstractNum w:abstractNumId="14">
    <w:nsid w:val="6B68079A"/>
    <w:multiLevelType w:val="hybridMultilevel"/>
    <w:lvl w:ilvl="0">
      <w:lvlJc w:val="left"/>
      <w:lvlText w:val="+"/>
      <w:numFmt w:val="bullet"/>
      <w:start w:val="1"/>
    </w:lvl>
  </w:abstractNum>
  <w:abstractNum w:abstractNumId="15">
    <w:nsid w:val="4E6AFB66"/>
    <w:multiLevelType w:val="hybridMultilevel"/>
    <w:lvl w:ilvl="0">
      <w:lvlJc w:val="left"/>
      <w:lvlText w:val="%1."/>
      <w:numFmt w:val="decimal"/>
      <w:start w:val="1"/>
    </w:lvl>
  </w:abstractNum>
  <w:abstractNum w:abstractNumId="16">
    <w:nsid w:val="25E45D32"/>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34" Type="http://schemas.openxmlformats.org/officeDocument/2006/relationships/image" Target="media/image18.png"/><Relationship Id="rId50" Type="http://schemas.openxmlformats.org/officeDocument/2006/relationships/image" Target="media/image19.png"/><Relationship Id="rId60" Type="http://schemas.openxmlformats.org/officeDocument/2006/relationships/image" Target="media/image20.png"/><Relationship Id="rId70" Type="http://schemas.openxmlformats.org/officeDocument/2006/relationships/image" Target="media/image21.png"/><Relationship Id="rId71" Type="http://schemas.openxmlformats.org/officeDocument/2006/relationships/image" Target="media/image22.png"/><Relationship Id="rId72" Type="http://schemas.openxmlformats.org/officeDocument/2006/relationships/image" Target="media/image23.png"/><Relationship Id="rId73" Type="http://schemas.openxmlformats.org/officeDocument/2006/relationships/image" Target="media/image24.png"/><Relationship Id="rId74" Type="http://schemas.openxmlformats.org/officeDocument/2006/relationships/image" Target="media/image25.png"/><Relationship Id="rId25" Type="http://schemas.openxmlformats.org/officeDocument/2006/relationships/hyperlink" Target="http://www.sec.gov/Archives/edgar/data/1729427/000168316818001028/filename3.htm" TargetMode="External"/><Relationship Id="rId26" Type="http://schemas.openxmlformats.org/officeDocument/2006/relationships/hyperlink" Target="https://www.sec.gov/Archives/edgar/data/1729427/000168316822008064/cns_ex0301.htm" TargetMode="External"/><Relationship Id="rId27" Type="http://schemas.openxmlformats.org/officeDocument/2006/relationships/hyperlink" Target="http://www.sec.gov/Archives/edgar/data/1729427/000168316824002961/cns_0301.htm" TargetMode="External"/><Relationship Id="rId28" Type="http://schemas.openxmlformats.org/officeDocument/2006/relationships/hyperlink" Target="http://www.sec.gov/Archives/edgar/data/1729427/000168316824003998/cns_ex0301.htm" TargetMode="External"/><Relationship Id="rId29" Type="http://schemas.openxmlformats.org/officeDocument/2006/relationships/hyperlink" Target="http://www.sec.gov/Archives/edgar/data/1729427/000168316818001028/filename4.htm" TargetMode="External"/><Relationship Id="rId30" Type="http://schemas.openxmlformats.org/officeDocument/2006/relationships/hyperlink" Target="http://www.sec.gov/Archives/edgar/data/1729427/000168316825002139/cns_ex0401.htm" TargetMode="External"/><Relationship Id="rId31" Type="http://schemas.openxmlformats.org/officeDocument/2006/relationships/hyperlink" Target="http://www.sec.gov/Archives/edgar/data/1729427/000168316822000120/cnspharma_ex0401.htm" TargetMode="External"/><Relationship Id="rId32" Type="http://schemas.openxmlformats.org/officeDocument/2006/relationships/hyperlink" Target="https://www.sec.gov/Archives/edgar/data/1729427/000168316822007789/cns_ex0408.htm" TargetMode="External"/><Relationship Id="rId33" Type="http://schemas.openxmlformats.org/officeDocument/2006/relationships/hyperlink" Target="https://www.sec.gov/Archives/edgar/data/1729427/000168316822007789/cns_ex0409.htm" TargetMode="External"/><Relationship Id="rId35" Type="http://schemas.openxmlformats.org/officeDocument/2006/relationships/hyperlink" Target="https://www.sec.gov/Archives/edgar/data/1729427/000168316824000660/cns_ex0401.htm" TargetMode="External"/><Relationship Id="rId36" Type="http://schemas.openxmlformats.org/officeDocument/2006/relationships/hyperlink" Target="https://www.sec.gov/Archives/edgar/data/1729427/000168316824000660/cns_ex0402.htm" TargetMode="External"/><Relationship Id="rId37" Type="http://schemas.openxmlformats.org/officeDocument/2006/relationships/hyperlink" Target="https://www.sec.gov/Archives/edgar/data/1729427/000168316824000660/cns_ex0403.htm" TargetMode="External"/><Relationship Id="rId38" Type="http://schemas.openxmlformats.org/officeDocument/2006/relationships/hyperlink" Target="http://www.sec.gov/Archives/edgar/data/1729427/000168316824004253/cns_ex0401.htm" TargetMode="External"/><Relationship Id="rId39" Type="http://schemas.openxmlformats.org/officeDocument/2006/relationships/hyperlink" Target="http://www.sec.gov/Archives/edgar/data/1729427/000168316824004253/cns_ex0402.htm" TargetMode="External"/><Relationship Id="rId40" Type="http://schemas.openxmlformats.org/officeDocument/2006/relationships/hyperlink" Target="http://www.sec.gov/Archives/edgar/data/1729427/000168316824004501/cns_ex0401.htm" TargetMode="External"/><Relationship Id="rId41" Type="http://schemas.openxmlformats.org/officeDocument/2006/relationships/hyperlink" Target="http://www.sec.gov/Archives/edgar/data/1729427/000168316824004667/cns_ex0401.htm" TargetMode="External"/><Relationship Id="rId42" Type="http://schemas.openxmlformats.org/officeDocument/2006/relationships/hyperlink" Target="http://www.sec.gov/Archives/edgar/data/1729427/000168316824007371/cns_ex0401.htm" TargetMode="External"/><Relationship Id="rId43" Type="http://schemas.openxmlformats.org/officeDocument/2006/relationships/hyperlink" Target="http://www.sec.gov/Archives/edgar/data/1729427/000168316818001713/cns_a1-ex0601.htm" TargetMode="External"/><Relationship Id="rId44" Type="http://schemas.openxmlformats.org/officeDocument/2006/relationships/hyperlink" Target="http://www.sec.gov/Archives/edgar/data/1729427/000168316818001713/cns_a1-ex0602.htm" TargetMode="External"/><Relationship Id="rId45" Type="http://schemas.openxmlformats.org/officeDocument/2006/relationships/hyperlink" Target="http://www.sec.gov/Archives/edgar/data/1729427/000168316818001713/cns_a1-ex0603.htm" TargetMode="External"/><Relationship Id="rId46" Type="http://schemas.openxmlformats.org/officeDocument/2006/relationships/hyperlink" Target="http://www.sec.gov/Archives/edgar/data/1729427/000168316818001713/cns_a1-ex0604.htm" TargetMode="External"/><Relationship Id="rId47" Type="http://schemas.openxmlformats.org/officeDocument/2006/relationships/hyperlink" Target="http://www.sec.gov/Archives/edgar/data/1729427/000168316818002664/cns_a1-ex0606.htm" TargetMode="External"/><Relationship Id="rId48" Type="http://schemas.openxmlformats.org/officeDocument/2006/relationships/hyperlink" Target="http://www.sec.gov/Archives/edgar/data/1729427/000168316818002664/cns_a1-ex0607.htm" TargetMode="External"/><Relationship Id="rId49" Type="http://schemas.openxmlformats.org/officeDocument/2006/relationships/hyperlink" Target="http://www.sec.gov/Archives/edgar/data/1729427/000168316819002206/cns_ex1008.htm" TargetMode="External"/><Relationship Id="rId51" Type="http://schemas.openxmlformats.org/officeDocument/2006/relationships/hyperlink" Target="http://www.sec.gov/Archives/edgar/data/1729427/000168316819002206/cns_ex1009.htm" TargetMode="External"/><Relationship Id="rId52" Type="http://schemas.openxmlformats.org/officeDocument/2006/relationships/hyperlink" Target="https://www.sec.gov/Archives/edgar/data/1729427/000168316819003197/cns_ex1010.htm" TargetMode="External"/><Relationship Id="rId53" Type="http://schemas.openxmlformats.org/officeDocument/2006/relationships/hyperlink" Target="http://www.sec.gov/Archives/edgar/data/1729427/000168316820003043/cns_ex9901.htm" TargetMode="External"/><Relationship Id="rId54" Type="http://schemas.openxmlformats.org/officeDocument/2006/relationships/hyperlink" Target="https://www.sec.gov/Archives/edgar/data/1729427/000168316822005637/cns_ex1001.htm" TargetMode="External"/><Relationship Id="rId55" Type="http://schemas.openxmlformats.org/officeDocument/2006/relationships/hyperlink" Target="https://www.sec.gov/Archives/edgar/data/1729427/000168316822007789/cns_ex1021.htm" TargetMode="External"/><Relationship Id="rId56" Type="http://schemas.openxmlformats.org/officeDocument/2006/relationships/hyperlink" Target="http://www.sec.gov/Archives/edgar/data/1729427/000168316824004253/cns_ex1002.htm" TargetMode="External"/><Relationship Id="rId57" Type="http://schemas.openxmlformats.org/officeDocument/2006/relationships/hyperlink" Target="http://www.sec.gov/Archives/edgar/data/1729427/000168316824004501/cns_ex1002.htm" TargetMode="External"/><Relationship Id="rId58" Type="http://schemas.openxmlformats.org/officeDocument/2006/relationships/hyperlink" Target="http://www.sec.gov/Archives/edgar/data/1729427/000168316824004667/cns_ex1002.htm" TargetMode="External"/><Relationship Id="rId59" Type="http://schemas.openxmlformats.org/officeDocument/2006/relationships/hyperlink" Target="http://www.sec.gov/Archives/edgar/data/1729427/000168316824005070/cns_ex0101.htm" TargetMode="External"/><Relationship Id="rId61" Type="http://schemas.openxmlformats.org/officeDocument/2006/relationships/hyperlink" Target="http://www.sec.gov/Archives/edgar/data/1729427/000168316824005070/cns_ex1001.htm" TargetMode="External"/><Relationship Id="rId62" Type="http://schemas.openxmlformats.org/officeDocument/2006/relationships/hyperlink" Target="http://www.sec.gov/Archives/edgar/data/1729427/000168316824005118/cns_ex1001.htm" TargetMode="External"/><Relationship Id="rId63" Type="http://schemas.openxmlformats.org/officeDocument/2006/relationships/hyperlink" Target="http://www.sec.gov/Archives/edgar/data/1729427/000168316824005118/cns_ex1002.htm" TargetMode="External"/><Relationship Id="rId64" Type="http://schemas.openxmlformats.org/officeDocument/2006/relationships/hyperlink" Target="http://www.sec.gov/Archives/edgar/data/1729427/000168316824007371/cns_ex0101.htm" TargetMode="External"/><Relationship Id="rId65" Type="http://schemas.openxmlformats.org/officeDocument/2006/relationships/hyperlink" Target="http://www.sec.gov/Archives/edgar/data/1729427/000168316825002139/cns_ex1901.htm" TargetMode="External"/><Relationship Id="rId66" Type="http://schemas.openxmlformats.org/officeDocument/2006/relationships/hyperlink" Target="http://www.sec.gov/Archives/edgar/data/1729427/000168316825002139/cns_ex2301.htm" TargetMode="External"/><Relationship Id="rId67" Type="http://schemas.openxmlformats.org/officeDocument/2006/relationships/hyperlink" Target="http://www.sec.gov/Archives/edgar/data/1729427/000168316825002139/cns_ex3201.htm" TargetMode="External"/><Relationship Id="rId68" Type="http://schemas.openxmlformats.org/officeDocument/2006/relationships/hyperlink" Target="http://www.sec.gov/Archives/edgar/data/1729427/000168316825002139/cns_ex3202.htm" TargetMode="External"/><Relationship Id="rId69" Type="http://schemas.openxmlformats.org/officeDocument/2006/relationships/hyperlink" Target="http://www.sec.gov/Archives/edgar/data/1729427/000168316824002032/cnspharma_ex9700.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2025-04-30T15:39:05Z</dcterms:created>
  <dcterms:modified xsi:type="dcterms:W3CDTF">2025-04-30T15:39:05Z</dcterms:modified>
</cp:coreProperties>
</file>