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9"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FORM 8-K/A</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CURRENT REPORT</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Pursuant to Section 13 or 15(d) of the</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Exchange Act of 1934</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7"/>
          <w:szCs w:val="17"/>
          <w:b w:val="1"/>
          <w:bCs w:val="1"/>
          <w:color w:val="auto"/>
        </w:rPr>
        <w:t>Date of Report (Date of earliest event reported): July 5, 2024</w:t>
      </w:r>
    </w:p>
    <w:p>
      <w:pPr>
        <w:spacing w:after="0" w:line="43"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194"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2"/>
          <w:szCs w:val="22"/>
          <w:b w:val="1"/>
          <w:bCs w:val="1"/>
          <w:color w:val="auto"/>
        </w:rPr>
        <w:t>CNS Pharmaceuticals, Inc.</w:t>
      </w:r>
    </w:p>
    <w:p>
      <w:pPr>
        <w:spacing w:after="0" w:line="2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(Exact name of registrant as specified in its charter)</w:t>
      </w:r>
    </w:p>
    <w:p>
      <w:pPr>
        <w:spacing w:after="0" w:line="7"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ectPr>
          <w:pgSz w:w="11900" w:h="16838" w:orient="portrait"/>
          <w:cols w:equalWidth="0" w:num="1">
            <w:col w:w="11240"/>
          </w:cols>
          <w:pgMar w:left="320" w:top="225" w:right="339" w:bottom="1440" w:gutter="0" w:footer="0" w:header="0"/>
        </w:sectPr>
      </w:pPr>
    </w:p>
    <w:p>
      <w:pPr>
        <w:spacing w:after="0" w:line="203" w:lineRule="exact"/>
        <w:rPr>
          <w:sz w:val="24"/>
          <w:szCs w:val="24"/>
          <w:color w:val="auto"/>
        </w:rPr>
      </w:pPr>
    </w:p>
    <w:p>
      <w:pPr>
        <w:jc w:val="center"/>
        <w:ind w:right="80"/>
        <w:spacing w:after="0"/>
        <w:rPr>
          <w:sz w:val="20"/>
          <w:szCs w:val="20"/>
          <w:color w:val="auto"/>
        </w:rPr>
      </w:pPr>
      <w:r>
        <w:rPr>
          <w:rFonts w:ascii="Times New Roman" w:cs="Times New Roman" w:eastAsia="Times New Roman" w:hAnsi="Times New Roman"/>
          <w:sz w:val="18"/>
          <w:szCs w:val="18"/>
          <w:b w:val="1"/>
          <w:bCs w:val="1"/>
          <w:color w:val="auto"/>
        </w:rPr>
        <w:t>Nevada</w:t>
      </w:r>
    </w:p>
    <w:p>
      <w:pPr>
        <w:spacing w:after="0" w:line="31" w:lineRule="exact"/>
        <w:rPr>
          <w:sz w:val="24"/>
          <w:szCs w:val="24"/>
          <w:color w:val="auto"/>
        </w:rPr>
      </w:pPr>
    </w:p>
    <w:p>
      <w:pPr>
        <w:jc w:val="center"/>
        <w:ind w:right="80"/>
        <w:spacing w:after="0"/>
        <w:rPr>
          <w:sz w:val="20"/>
          <w:szCs w:val="20"/>
          <w:color w:val="auto"/>
        </w:rPr>
      </w:pPr>
      <w:r>
        <w:rPr>
          <w:rFonts w:ascii="Times New Roman" w:cs="Times New Roman" w:eastAsia="Times New Roman" w:hAnsi="Times New Roman"/>
          <w:sz w:val="17"/>
          <w:szCs w:val="17"/>
          <w:color w:val="auto"/>
        </w:rPr>
        <w:t>(State or other jurisdiction of</w:t>
      </w:r>
    </w:p>
    <w:p>
      <w:pPr>
        <w:spacing w:after="0" w:line="20" w:lineRule="exact"/>
        <w:rPr>
          <w:sz w:val="24"/>
          <w:szCs w:val="24"/>
          <w:color w:val="auto"/>
        </w:rPr>
      </w:pPr>
      <w:r>
        <w:rPr>
          <w:sz w:val="24"/>
          <w:szCs w:val="24"/>
          <w:color w:val="auto"/>
        </w:rPr>
        <w:br w:type="column"/>
      </w:r>
    </w:p>
    <w:p>
      <w:pPr>
        <w:spacing w:after="0" w:line="183" w:lineRule="exact"/>
        <w:rPr>
          <w:sz w:val="24"/>
          <w:szCs w:val="24"/>
          <w:color w:val="auto"/>
        </w:rPr>
      </w:pPr>
    </w:p>
    <w:p>
      <w:pPr>
        <w:jc w:val="center"/>
        <w:ind w:right="680"/>
        <w:spacing w:after="0"/>
        <w:rPr>
          <w:sz w:val="20"/>
          <w:szCs w:val="20"/>
          <w:color w:val="auto"/>
        </w:rPr>
      </w:pPr>
      <w:r>
        <w:rPr>
          <w:rFonts w:ascii="Times New Roman" w:cs="Times New Roman" w:eastAsia="Times New Roman" w:hAnsi="Times New Roman"/>
          <w:sz w:val="18"/>
          <w:szCs w:val="18"/>
          <w:b w:val="1"/>
          <w:bCs w:val="1"/>
          <w:color w:val="auto"/>
        </w:rPr>
        <w:t>001-39126</w:t>
      </w:r>
    </w:p>
    <w:p>
      <w:pPr>
        <w:spacing w:after="0" w:line="31" w:lineRule="exact"/>
        <w:rPr>
          <w:sz w:val="24"/>
          <w:szCs w:val="24"/>
          <w:color w:val="auto"/>
        </w:rPr>
      </w:pPr>
    </w:p>
    <w:p>
      <w:pPr>
        <w:jc w:val="center"/>
        <w:ind w:right="680"/>
        <w:spacing w:after="0"/>
        <w:rPr>
          <w:sz w:val="20"/>
          <w:szCs w:val="20"/>
          <w:color w:val="auto"/>
        </w:rPr>
      </w:pPr>
      <w:r>
        <w:rPr>
          <w:rFonts w:ascii="Times New Roman" w:cs="Times New Roman" w:eastAsia="Times New Roman" w:hAnsi="Times New Roman"/>
          <w:sz w:val="17"/>
          <w:szCs w:val="17"/>
          <w:color w:val="auto"/>
        </w:rPr>
        <w:t>(Commission File Number)</w:t>
      </w:r>
    </w:p>
    <w:p>
      <w:pPr>
        <w:spacing w:after="0" w:line="20" w:lineRule="exact"/>
        <w:rPr>
          <w:sz w:val="24"/>
          <w:szCs w:val="24"/>
          <w:color w:val="auto"/>
        </w:rPr>
      </w:pPr>
      <w:r>
        <w:rPr>
          <w:sz w:val="24"/>
          <w:szCs w:val="24"/>
          <w:color w:val="auto"/>
        </w:rPr>
        <w:br w:type="column"/>
      </w:r>
    </w:p>
    <w:p>
      <w:pPr>
        <w:spacing w:after="0" w:line="183" w:lineRule="exact"/>
        <w:rPr>
          <w:sz w:val="24"/>
          <w:szCs w:val="24"/>
          <w:color w:val="auto"/>
        </w:rPr>
      </w:pPr>
    </w:p>
    <w:p>
      <w:pPr>
        <w:jc w:val="center"/>
        <w:ind w:right="580"/>
        <w:spacing w:after="0"/>
        <w:rPr>
          <w:sz w:val="20"/>
          <w:szCs w:val="20"/>
          <w:color w:val="auto"/>
        </w:rPr>
      </w:pPr>
      <w:r>
        <w:rPr>
          <w:rFonts w:ascii="Times New Roman" w:cs="Times New Roman" w:eastAsia="Times New Roman" w:hAnsi="Times New Roman"/>
          <w:sz w:val="18"/>
          <w:szCs w:val="18"/>
          <w:b w:val="1"/>
          <w:bCs w:val="1"/>
          <w:color w:val="auto"/>
        </w:rPr>
        <w:t>82-2318545</w:t>
      </w:r>
    </w:p>
    <w:p>
      <w:pPr>
        <w:spacing w:after="0" w:line="31" w:lineRule="exact"/>
        <w:rPr>
          <w:sz w:val="24"/>
          <w:szCs w:val="24"/>
          <w:color w:val="auto"/>
        </w:rPr>
      </w:pPr>
    </w:p>
    <w:p>
      <w:pPr>
        <w:jc w:val="center"/>
        <w:ind w:right="600"/>
        <w:spacing w:after="0"/>
        <w:rPr>
          <w:sz w:val="20"/>
          <w:szCs w:val="20"/>
          <w:color w:val="auto"/>
        </w:rPr>
      </w:pPr>
      <w:r>
        <w:rPr>
          <w:rFonts w:ascii="Times New Roman" w:cs="Times New Roman" w:eastAsia="Times New Roman" w:hAnsi="Times New Roman"/>
          <w:sz w:val="18"/>
          <w:szCs w:val="18"/>
          <w:color w:val="auto"/>
        </w:rPr>
        <w:t>(I.R.S. Employer Identification No.)</w:t>
      </w:r>
    </w:p>
    <w:p>
      <w:pPr>
        <w:spacing w:after="0" w:line="9" w:lineRule="exact"/>
        <w:rPr>
          <w:sz w:val="24"/>
          <w:szCs w:val="24"/>
          <w:color w:val="auto"/>
        </w:rPr>
      </w:pPr>
    </w:p>
    <w:p>
      <w:pPr>
        <w:sectPr>
          <w:pgSz w:w="11900" w:h="16838" w:orient="portrait"/>
          <w:cols w:equalWidth="0" w:num="3">
            <w:col w:w="3920" w:space="720"/>
            <w:col w:w="2660" w:space="720"/>
            <w:col w:w="3220"/>
          </w:cols>
          <w:pgMar w:left="320" w:top="225" w:right="339" w:bottom="1440" w:gutter="0" w:footer="0" w:header="0"/>
          <w:type w:val="continuous"/>
        </w:sectPr>
      </w:pPr>
    </w:p>
    <w:p>
      <w:pPr>
        <w:ind w:left="840"/>
        <w:spacing w:after="0"/>
        <w:rPr>
          <w:sz w:val="20"/>
          <w:szCs w:val="20"/>
          <w:color w:val="auto"/>
        </w:rPr>
      </w:pPr>
      <w:r>
        <w:rPr>
          <w:rFonts w:ascii="Times New Roman" w:cs="Times New Roman" w:eastAsia="Times New Roman" w:hAnsi="Times New Roman"/>
          <w:sz w:val="18"/>
          <w:szCs w:val="18"/>
          <w:color w:val="auto"/>
        </w:rPr>
        <w:t>incorporation or organization)</w:t>
      </w:r>
    </w:p>
    <w:p>
      <w:pPr>
        <w:spacing w:after="0" w:line="203"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2100 West Loop South, Suite 900</w:t>
      </w:r>
    </w:p>
    <w:p>
      <w:pPr>
        <w:spacing w:after="0" w:line="31"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Houston, Texas 77027</w:t>
      </w:r>
    </w:p>
    <w:p>
      <w:pPr>
        <w:spacing w:after="0" w:line="9"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(Address of principal executive offices) (Zip Code)</w:t>
      </w:r>
    </w:p>
    <w:p>
      <w:pPr>
        <w:sectPr>
          <w:pgSz w:w="11900" w:h="16838" w:orient="portrait"/>
          <w:cols w:equalWidth="0" w:num="1">
            <w:col w:w="11240"/>
          </w:cols>
          <w:pgMar w:left="320" w:top="225" w:right="339" w:bottom="1440" w:gutter="0" w:footer="0" w:header="0"/>
          <w:type w:val="continuous"/>
        </w:sectPr>
      </w:pP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Registrant’s telephone number, including area code: (800) 946-9185</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 Applicable</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(Former Name or Former Address, if Changed Since Last Report)</w:t>
      </w:r>
    </w:p>
    <w:p>
      <w:pPr>
        <w:spacing w:after="0" w:line="9"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207" w:lineRule="exact"/>
        <w:rPr>
          <w:sz w:val="24"/>
          <w:szCs w:val="24"/>
          <w:color w:val="auto"/>
        </w:rPr>
      </w:pPr>
    </w:p>
    <w:p>
      <w:pPr>
        <w:ind w:firstLine="324"/>
        <w:spacing w:after="0" w:line="282" w:lineRule="auto"/>
        <w:rPr>
          <w:sz w:val="20"/>
          <w:szCs w:val="20"/>
          <w:color w:val="auto"/>
        </w:rPr>
      </w:pPr>
      <w:r>
        <w:rPr>
          <w:rFonts w:ascii="Times New Roman" w:cs="Times New Roman" w:eastAsia="Times New Roman" w:hAnsi="Times New Roman"/>
          <w:sz w:val="18"/>
          <w:szCs w:val="18"/>
          <w:color w:val="auto"/>
        </w:rPr>
        <w:t>Check the appropriate box below if the Form 8-K filing is intended to simultaneously satisfy the filing obligation of the registrant under any of the following provisions (</w:t>
      </w:r>
      <w:r>
        <w:rPr>
          <w:rFonts w:ascii="Times New Roman" w:cs="Times New Roman" w:eastAsia="Times New Roman" w:hAnsi="Times New Roman"/>
          <w:sz w:val="18"/>
          <w:szCs w:val="18"/>
          <w:i w:val="1"/>
          <w:iCs w:val="1"/>
          <w:color w:val="auto"/>
        </w:rPr>
        <w:t>see</w:t>
      </w:r>
      <w:r>
        <w:rPr>
          <w:rFonts w:ascii="Times New Roman" w:cs="Times New Roman" w:eastAsia="Times New Roman" w:hAnsi="Times New Roman"/>
          <w:sz w:val="18"/>
          <w:szCs w:val="18"/>
          <w:color w:val="auto"/>
        </w:rPr>
        <w:t xml:space="preserve"> General Instruction A.2. below):</w:t>
      </w:r>
    </w:p>
    <w:p>
      <w:pPr>
        <w:spacing w:after="0" w:line="162" w:lineRule="exact"/>
        <w:rPr>
          <w:sz w:val="24"/>
          <w:szCs w:val="24"/>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Written communications pursuant to Rule 425 under the Securities Act (17 CFR 230.425)</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Soliciting material pursuant to Rule 14a-12 under the Exchange Act (17 CFR 240.14a-12)</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14d-2(b) under the Exchange Act (17 CFR 240.14d-2(b))</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13e-4(c) under the Exchange Act (17 CFR 240.13e-4(c))</w:t>
      </w:r>
    </w:p>
    <w:p>
      <w:pPr>
        <w:spacing w:after="0" w:line="225" w:lineRule="exact"/>
        <w:rPr>
          <w:sz w:val="24"/>
          <w:szCs w:val="24"/>
          <w:color w:val="auto"/>
        </w:rPr>
      </w:pPr>
    </w:p>
    <w:p>
      <w:pPr>
        <w:ind w:right="20"/>
        <w:spacing w:after="0" w:line="282" w:lineRule="auto"/>
        <w:rPr>
          <w:sz w:val="20"/>
          <w:szCs w:val="20"/>
          <w:color w:val="auto"/>
        </w:rPr>
      </w:pPr>
      <w:r>
        <w:rPr>
          <w:rFonts w:ascii="Times New Roman" w:cs="Times New Roman" w:eastAsia="Times New Roman" w:hAnsi="Times New Roman"/>
          <w:sz w:val="18"/>
          <w:szCs w:val="18"/>
          <w:color w:val="auto"/>
        </w:rPr>
        <w:t>Indicate by check mark whether the registrant is an emerging growth company as defined in Rule 405 of the Securities Act of 1933 (§230.405 of this chapter) or Rule 12b-2 of the Securities Exchange Act of 1934 (§240.12b-2 of this chapter).</w:t>
      </w:r>
    </w:p>
    <w:p>
      <w:pPr>
        <w:spacing w:after="0" w:line="121" w:lineRule="exact"/>
        <w:rPr>
          <w:sz w:val="24"/>
          <w:szCs w:val="24"/>
          <w:color w:val="auto"/>
        </w:rPr>
      </w:pPr>
    </w:p>
    <w:p>
      <w:pPr>
        <w:ind w:left="8940"/>
        <w:spacing w:after="0" w:line="207" w:lineRule="exact"/>
        <w:rPr>
          <w:sz w:val="20"/>
          <w:szCs w:val="20"/>
          <w:color w:val="auto"/>
        </w:rPr>
      </w:pPr>
      <w:r>
        <w:rPr>
          <w:rFonts w:ascii="Times New Roman" w:cs="Times New Roman" w:eastAsia="Times New Roman" w:hAnsi="Times New Roman"/>
          <w:sz w:val="18"/>
          <w:szCs w:val="18"/>
          <w:color w:val="auto"/>
        </w:rPr>
        <w:t xml:space="preserve">Emerging growth company </w:t>
      </w:r>
      <w:r>
        <w:rPr>
          <w:rFonts w:ascii="MS PGothic" w:cs="MS PGothic" w:eastAsia="MS PGothic" w:hAnsi="MS PGothic"/>
          <w:sz w:val="18"/>
          <w:szCs w:val="18"/>
          <w:color w:val="auto"/>
        </w:rPr>
        <w:t>☒</w:t>
      </w:r>
    </w:p>
    <w:p>
      <w:pPr>
        <w:spacing w:after="0" w:line="266" w:lineRule="exact"/>
        <w:rPr>
          <w:sz w:val="24"/>
          <w:szCs w:val="24"/>
          <w:color w:val="auto"/>
        </w:rPr>
      </w:pPr>
    </w:p>
    <w:p>
      <w:pPr>
        <w:spacing w:after="0" w:line="239"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170"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Securities registered pursuant to Section 12(b) of the Act:</w:t>
      </w:r>
    </w:p>
    <w:p>
      <w:pPr>
        <w:spacing w:after="0" w:line="223" w:lineRule="exact"/>
        <w:rPr>
          <w:sz w:val="24"/>
          <w:szCs w:val="24"/>
          <w:color w:val="auto"/>
        </w:rPr>
      </w:pPr>
    </w:p>
    <w:tbl>
      <w:tblPr>
        <w:tblLayout w:type="fixed"/>
        <w:tblInd w:w="10" w:type="dxa"/>
        <w:tblCellMar>
          <w:top w:w="0" w:type="dxa"/>
          <w:left w:w="0" w:type="dxa"/>
          <w:bottom w:w="0" w:type="dxa"/>
          <w:right w:w="0" w:type="dxa"/>
        </w:tblCellMar>
      </w:tblPr>
      <w:tr>
        <w:trPr>
          <w:trHeight w:val="230"/>
        </w:trPr>
        <w:tc>
          <w:tcPr>
            <w:tcW w:w="4520" w:type="dxa"/>
            <w:vAlign w:val="bottom"/>
            <w:tcBorders>
              <w:top w:val="single" w:sz="8" w:color="auto"/>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Title of each class</w:t>
            </w:r>
          </w:p>
        </w:tc>
        <w:tc>
          <w:tcPr>
            <w:tcW w:w="2240" w:type="dxa"/>
            <w:vAlign w:val="bottom"/>
            <w:tcBorders>
              <w:top w:val="single" w:sz="8" w:color="auto"/>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Trading Symbols(s)</w:t>
            </w:r>
          </w:p>
        </w:tc>
        <w:tc>
          <w:tcPr>
            <w:tcW w:w="4480" w:type="dxa"/>
            <w:vAlign w:val="bottom"/>
            <w:tcBorders>
              <w:top w:val="single" w:sz="8" w:color="auto"/>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Name of each exchange on which registered</w:t>
            </w:r>
          </w:p>
        </w:tc>
      </w:tr>
      <w:tr>
        <w:trPr>
          <w:trHeight w:val="209"/>
        </w:trPr>
        <w:tc>
          <w:tcPr>
            <w:tcW w:w="452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Common stock, par value $0.001 per share</w:t>
            </w:r>
          </w:p>
        </w:tc>
        <w:tc>
          <w:tcPr>
            <w:tcW w:w="224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CNSP</w:t>
            </w:r>
          </w:p>
        </w:tc>
        <w:tc>
          <w:tcPr>
            <w:tcW w:w="448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The NASDAQ Stock Market LLC</w:t>
            </w:r>
          </w:p>
        </w:tc>
      </w:tr>
      <w:tr>
        <w:trPr>
          <w:trHeight w:val="965"/>
        </w:trPr>
        <w:tc>
          <w:tcPr>
            <w:tcW w:w="4520" w:type="dxa"/>
            <w:vAlign w:val="bottom"/>
            <w:tcBorders>
              <w:bottom w:val="single" w:sz="8" w:color="auto"/>
            </w:tcBorders>
          </w:tcPr>
          <w:p>
            <w:pPr>
              <w:spacing w:after="0"/>
              <w:rPr>
                <w:sz w:val="24"/>
                <w:szCs w:val="24"/>
                <w:color w:val="auto"/>
              </w:rPr>
            </w:pPr>
          </w:p>
        </w:tc>
        <w:tc>
          <w:tcPr>
            <w:tcW w:w="2240" w:type="dxa"/>
            <w:vAlign w:val="bottom"/>
            <w:tcBorders>
              <w:bottom w:val="single" w:sz="8" w:color="auto"/>
            </w:tcBorders>
          </w:tcPr>
          <w:p>
            <w:pPr>
              <w:spacing w:after="0"/>
              <w:rPr>
                <w:sz w:val="24"/>
                <w:szCs w:val="24"/>
                <w:color w:val="auto"/>
              </w:rPr>
            </w:pPr>
          </w:p>
        </w:tc>
        <w:tc>
          <w:tcPr>
            <w:tcW w:w="4480" w:type="dxa"/>
            <w:vAlign w:val="bottom"/>
            <w:tcBorders>
              <w:bottom w:val="single" w:sz="8" w:color="auto"/>
            </w:tcBorders>
          </w:tcPr>
          <w:p>
            <w:pPr>
              <w:spacing w:after="0"/>
              <w:rPr>
                <w:sz w:val="24"/>
                <w:szCs w:val="24"/>
                <w:color w:val="auto"/>
              </w:rPr>
            </w:pPr>
          </w:p>
        </w:tc>
      </w:tr>
    </w:tbl>
    <w:p>
      <w:pPr>
        <w:sectPr>
          <w:pgSz w:w="11900" w:h="16838" w:orient="portrait"/>
          <w:cols w:equalWidth="0" w:num="1">
            <w:col w:w="11240"/>
          </w:cols>
          <w:pgMar w:left="320" w:top="225" w:right="339" w:bottom="1440" w:gutter="0" w:footer="0" w:header="0"/>
          <w:type w:val="continuous"/>
        </w:sectPr>
      </w:pPr>
    </w:p>
    <w:bookmarkStart w:id="1" w:name="page2"/>
    <w:bookmarkEnd w:id="1"/>
    <w:p>
      <w:pPr>
        <w:jc w:val="center"/>
        <w:spacing w:after="0"/>
        <w:rPr>
          <w:sz w:val="20"/>
          <w:szCs w:val="20"/>
          <w:color w:val="auto"/>
        </w:rPr>
      </w:pPr>
      <w:r>
        <w:rPr>
          <w:rFonts w:ascii="Times New Roman" w:cs="Times New Roman" w:eastAsia="Times New Roman" w:hAnsi="Times New Roman"/>
          <w:sz w:val="18"/>
          <w:szCs w:val="18"/>
          <w:b w:val="1"/>
          <w:bCs w:val="1"/>
          <w:color w:val="auto"/>
        </w:rPr>
        <w:t>Explanatory Note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This Amendment No. 1 to Form 8-K (this “Amendment No. 1”) is being filed as an amendment to the Current Report on Form 8-K of CNS Pharmaceuticals, Inc. (the “Company”), filed with the U.S. Securities and Exchange Commission on July 9, 2024 (the “Original Filing”). The purpose of this Amendment No. 1 is to provide additional information on the status of the Company’s listing with The Nasdaq Stock Market LLC.</w:t>
      </w:r>
    </w:p>
    <w:p>
      <w:pPr>
        <w:spacing w:after="0" w:line="172" w:lineRule="exact"/>
        <w:rPr>
          <w:sz w:val="20"/>
          <w:szCs w:val="20"/>
          <w:color w:val="auto"/>
        </w:rPr>
      </w:pPr>
    </w:p>
    <w:p>
      <w:pPr>
        <w:spacing w:after="0"/>
        <w:tabs>
          <w:tab w:leader="none" w:pos="940" w:val="left"/>
        </w:tabs>
        <w:rPr>
          <w:sz w:val="20"/>
          <w:szCs w:val="20"/>
          <w:color w:val="auto"/>
        </w:rPr>
      </w:pPr>
      <w:r>
        <w:rPr>
          <w:rFonts w:ascii="Times New Roman" w:cs="Times New Roman" w:eastAsia="Times New Roman" w:hAnsi="Times New Roman"/>
          <w:sz w:val="18"/>
          <w:szCs w:val="18"/>
          <w:b w:val="1"/>
          <w:bCs w:val="1"/>
          <w:color w:val="auto"/>
        </w:rPr>
        <w:t>Item 8.01</w:t>
      </w:r>
      <w:r>
        <w:rPr>
          <w:sz w:val="20"/>
          <w:szCs w:val="20"/>
          <w:color w:val="auto"/>
        </w:rPr>
        <w:tab/>
      </w:r>
      <w:r>
        <w:rPr>
          <w:rFonts w:ascii="Times New Roman" w:cs="Times New Roman" w:eastAsia="Times New Roman" w:hAnsi="Times New Roman"/>
          <w:sz w:val="17"/>
          <w:szCs w:val="17"/>
          <w:b w:val="1"/>
          <w:bCs w:val="1"/>
          <w:color w:val="auto"/>
        </w:rPr>
        <w:t>Other Events.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As previously reported, on February 27, 2024, CNS Pharmaceuticals, Inc. (the “Company”) received a deficiency letter from the Listing Qualifications Department (the “Staff”) of The Nasdaq Stock Market LLC (“Nasdaq”) notifying the Company that for the last 30 consecutive business days the bid price for the Company’s common stock had closed below the minimum $1.00 per share requirement for continued inclusion on The Nasdaq Capital Market pursuant to Nasdaq Listing Rule 5550(a)(2) (the “Bid Price Rule”).</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July 5, 2024, the Company received a letter from the Nasdaq Staff notifying the Company that it had regained compliance with Bid Price Rule as a result of the closing bid price of the Company’s common stock being at $1.00 per share or greater for the 20 consecutive business days from June 5, 2024, through July 3, 2024.</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Accordingly, the Company is in compliance with the Bid Price Rule.</w:t>
      </w:r>
    </w:p>
    <w:p>
      <w:pPr>
        <w:spacing w:after="0" w:line="225"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On August 17, 2023, the Company was notified by the Staff that it was not in compliance with the minimum $2,500,000 stockholders’ equity requirement for continued listing set forth in Nasdaq Listing Rule 5550(b) (the “Equity Rule”). On February 14, 2024, the Company was notified that because it had not regained compliance with the Equity Rule, its securities would be delisted unless it requested a hearing. On February 21, 2024, the Company requested a hearing, which was held on April 18, 2024. On May 6, 2024, the Company received notification from the Nasdaq Hearings Panel (“Panel”) that it had granted an extension until July 15, 2024, to demonstrate compliance with the Bid Price Rule and Equity Rule. The satisfaction of the Bid Price Rule above does not impact the continued requirement of the Company to demonstrate compliance with the Equity Rule. The Company intends to provide further updates on its plan to regain compliance with the Equity Rule as additional information becomes available.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 w:name="page3"/>
    <w:bookmarkEnd w:id="2"/>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Signature</w:t>
      </w:r>
    </w:p>
    <w:p>
      <w:pPr>
        <w:spacing w:after="0" w:line="229" w:lineRule="exact"/>
        <w:rPr>
          <w:sz w:val="20"/>
          <w:szCs w:val="20"/>
          <w:color w:val="auto"/>
        </w:rPr>
      </w:pPr>
    </w:p>
    <w:p>
      <w:pPr>
        <w:ind w:firstLine="486"/>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the registrant has duly caused this report to be signed on its behalf by the undersigned hereunto duly authorized.</w:t>
      </w:r>
    </w:p>
    <w:p>
      <w:pPr>
        <w:spacing w:after="0" w:line="200" w:lineRule="exact"/>
        <w:rPr>
          <w:sz w:val="20"/>
          <w:szCs w:val="20"/>
          <w:color w:val="auto"/>
        </w:rPr>
      </w:pPr>
    </w:p>
    <w:p>
      <w:pPr>
        <w:spacing w:after="0" w:line="394" w:lineRule="exact"/>
        <w:rPr>
          <w:sz w:val="20"/>
          <w:szCs w:val="20"/>
          <w:color w:val="auto"/>
        </w:rPr>
      </w:pPr>
    </w:p>
    <w:p>
      <w:pPr>
        <w:ind w:left="5740"/>
        <w:spacing w:after="0"/>
        <w:rPr>
          <w:sz w:val="20"/>
          <w:szCs w:val="20"/>
          <w:color w:val="auto"/>
        </w:rPr>
      </w:pPr>
      <w:r>
        <w:rPr>
          <w:rFonts w:ascii="Times New Roman" w:cs="Times New Roman" w:eastAsia="Times New Roman" w:hAnsi="Times New Roman"/>
          <w:sz w:val="18"/>
          <w:szCs w:val="18"/>
          <w:color w:val="auto"/>
        </w:rPr>
        <w:t>CNS Pharmaceuticals, Inc.</w:t>
      </w:r>
    </w:p>
    <w:p>
      <w:pPr>
        <w:spacing w:after="0" w:line="200" w:lineRule="exact"/>
        <w:rPr>
          <w:sz w:val="20"/>
          <w:szCs w:val="20"/>
          <w:color w:val="auto"/>
        </w:rPr>
      </w:pPr>
    </w:p>
    <w:p>
      <w:pPr>
        <w:spacing w:after="0" w:line="241" w:lineRule="exact"/>
        <w:rPr>
          <w:sz w:val="20"/>
          <w:szCs w:val="20"/>
          <w:color w:val="auto"/>
        </w:rPr>
      </w:pPr>
    </w:p>
    <w:p>
      <w:pPr>
        <w:ind w:left="5740"/>
        <w:spacing w:after="0"/>
        <w:rPr>
          <w:sz w:val="20"/>
          <w:szCs w:val="20"/>
          <w:color w:val="auto"/>
        </w:rPr>
      </w:pPr>
      <w:r>
        <w:rPr>
          <w:rFonts w:ascii="Times New Roman" w:cs="Times New Roman" w:eastAsia="Times New Roman" w:hAnsi="Times New Roman"/>
          <w:sz w:val="18"/>
          <w:szCs w:val="18"/>
          <w:color w:val="auto"/>
        </w:rPr>
        <w:t>By: /s/ Chris Downs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3862705</wp:posOffset>
            </wp:positionH>
            <wp:positionV relativeFrom="paragraph">
              <wp:posOffset>-7620</wp:posOffset>
            </wp:positionV>
            <wp:extent cx="1421765" cy="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1421765" cy="8255"/>
                    </a:xfrm>
                    <a:prstGeom prst="rect">
                      <a:avLst/>
                    </a:prstGeom>
                    <a:noFill/>
                  </pic:spPr>
                </pic:pic>
              </a:graphicData>
            </a:graphic>
          </wp:anchor>
        </w:drawing>
      </w:r>
    </w:p>
    <w:p>
      <w:pPr>
        <w:spacing w:after="0" w:line="7"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Chris Downs</w:t>
      </w:r>
    </w:p>
    <w:p>
      <w:pPr>
        <w:spacing w:after="0" w:line="9"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Dated: July 11, 2024</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sectPr>
      <w:pgSz w:w="11900" w:h="16838" w:orient="portrait"/>
      <w:cols w:equalWidth="0" w:num="1">
        <w:col w:w="11240"/>
      </w:cols>
      <w:pgMar w:left="320" w:top="792" w:right="3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327B23C6"/>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2024-07-12T05:13:09Z</dcterms:created>
  <dcterms:modified xsi:type="dcterms:W3CDTF">2024-07-12T05:13:09Z</dcterms:modified>
</cp:coreProperties>
</file>