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9" w:lineRule="exact"/>
        <w:rPr>
          <w:sz w:val="24"/>
          <w:szCs w:val="24"/>
          <w:color w:val="auto"/>
        </w:rPr>
      </w:pPr>
    </w:p>
    <w:p>
      <w:pPr>
        <w:ind w:left="4400"/>
        <w:spacing w:after="0"/>
        <w:rPr>
          <w:sz w:val="20"/>
          <w:szCs w:val="20"/>
          <w:color w:val="auto"/>
        </w:rPr>
      </w:pPr>
      <w:r>
        <w:rPr>
          <w:rFonts w:ascii="Times New Roman" w:cs="Times New Roman" w:eastAsia="Times New Roman" w:hAnsi="Times New Roman"/>
          <w:sz w:val="18"/>
          <w:szCs w:val="18"/>
          <w:color w:val="auto"/>
        </w:rPr>
        <w:t>___________________________</w:t>
      </w:r>
    </w:p>
    <w:p>
      <w:pPr>
        <w:spacing w:after="0" w:line="20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FORM 8-K/A</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Amendment No. 1</w:t>
      </w:r>
    </w:p>
    <w:p>
      <w:pPr>
        <w:spacing w:after="0" w:line="20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Securities Exchange Act of 1934</w:t>
      </w:r>
    </w:p>
    <w:p>
      <w:pPr>
        <w:spacing w:after="0" w:line="20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color w:val="auto"/>
        </w:rPr>
        <w:t>Date of Report (Date of earliest event reported): June 14, 2024</w:t>
      </w:r>
    </w:p>
    <w:p>
      <w:pPr>
        <w:spacing w:after="0" w:line="43" w:lineRule="exact"/>
        <w:rPr>
          <w:sz w:val="24"/>
          <w:szCs w:val="24"/>
          <w:color w:val="auto"/>
        </w:rPr>
      </w:pPr>
    </w:p>
    <w:p>
      <w:pPr>
        <w:ind w:left="4400"/>
        <w:spacing w:after="0"/>
        <w:rPr>
          <w:sz w:val="20"/>
          <w:szCs w:val="20"/>
          <w:color w:val="auto"/>
        </w:rPr>
      </w:pPr>
      <w:r>
        <w:rPr>
          <w:rFonts w:ascii="Times New Roman" w:cs="Times New Roman" w:eastAsia="Times New Roman" w:hAnsi="Times New Roman"/>
          <w:sz w:val="18"/>
          <w:szCs w:val="18"/>
          <w:color w:val="auto"/>
        </w:rPr>
        <w:t>___________________________</w:t>
      </w:r>
    </w:p>
    <w:p>
      <w:pPr>
        <w:spacing w:after="0" w:line="19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CNS Pharmaceuticals, Inc.</w:t>
      </w:r>
    </w:p>
    <w:p>
      <w:pPr>
        <w:spacing w:after="0" w:line="2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7" w:lineRule="exact"/>
        <w:rPr>
          <w:sz w:val="24"/>
          <w:szCs w:val="24"/>
          <w:color w:val="auto"/>
        </w:rPr>
      </w:pPr>
    </w:p>
    <w:p>
      <w:pPr>
        <w:ind w:left="4400"/>
        <w:spacing w:after="0"/>
        <w:rPr>
          <w:sz w:val="20"/>
          <w:szCs w:val="20"/>
          <w:color w:val="auto"/>
        </w:rPr>
      </w:pPr>
      <w:r>
        <w:rPr>
          <w:rFonts w:ascii="Times New Roman" w:cs="Times New Roman" w:eastAsia="Times New Roman" w:hAnsi="Times New Roman"/>
          <w:sz w:val="18"/>
          <w:szCs w:val="18"/>
          <w:color w:val="auto"/>
        </w:rPr>
        <w:t>___________________________</w:t>
      </w:r>
    </w:p>
    <w:p>
      <w:pPr>
        <w:sectPr>
          <w:pgSz w:w="11900" w:h="16838" w:orient="portrait"/>
          <w:cols w:equalWidth="0" w:num="1">
            <w:col w:w="11240"/>
          </w:cols>
          <w:pgMar w:left="320" w:top="225" w:right="339" w:bottom="1440" w:gutter="0" w:footer="0" w:header="0"/>
        </w:sectPr>
      </w:pPr>
    </w:p>
    <w:p>
      <w:pPr>
        <w:spacing w:after="0" w:line="203"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18"/>
          <w:szCs w:val="18"/>
          <w:b w:val="1"/>
          <w:bCs w:val="1"/>
          <w:color w:val="auto"/>
        </w:rPr>
        <w:t>Nevada</w:t>
      </w:r>
    </w:p>
    <w:p>
      <w:pPr>
        <w:spacing w:after="0" w:line="31"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17"/>
          <w:szCs w:val="17"/>
          <w:color w:val="auto"/>
        </w:rPr>
        <w:t>(State or other jurisdiction of</w:t>
      </w:r>
    </w:p>
    <w:p>
      <w:pPr>
        <w:spacing w:after="0" w:line="20" w:lineRule="exact"/>
        <w:rPr>
          <w:sz w:val="24"/>
          <w:szCs w:val="24"/>
          <w:color w:val="auto"/>
        </w:rPr>
      </w:pPr>
      <w:r>
        <w:rPr>
          <w:sz w:val="24"/>
          <w:szCs w:val="24"/>
          <w:color w:val="auto"/>
        </w:rPr>
        <w:br w:type="column"/>
      </w:r>
    </w:p>
    <w:p>
      <w:pPr>
        <w:spacing w:after="0" w:line="183" w:lineRule="exact"/>
        <w:rPr>
          <w:sz w:val="24"/>
          <w:szCs w:val="24"/>
          <w:color w:val="auto"/>
        </w:rPr>
      </w:pPr>
    </w:p>
    <w:p>
      <w:pPr>
        <w:jc w:val="center"/>
        <w:ind w:right="680"/>
        <w:spacing w:after="0"/>
        <w:rPr>
          <w:sz w:val="20"/>
          <w:szCs w:val="20"/>
          <w:color w:val="auto"/>
        </w:rPr>
      </w:pPr>
      <w:r>
        <w:rPr>
          <w:rFonts w:ascii="Times New Roman" w:cs="Times New Roman" w:eastAsia="Times New Roman" w:hAnsi="Times New Roman"/>
          <w:sz w:val="18"/>
          <w:szCs w:val="18"/>
          <w:b w:val="1"/>
          <w:bCs w:val="1"/>
          <w:color w:val="auto"/>
        </w:rPr>
        <w:t>001-39126</w:t>
      </w:r>
    </w:p>
    <w:p>
      <w:pPr>
        <w:spacing w:after="0" w:line="31" w:lineRule="exact"/>
        <w:rPr>
          <w:sz w:val="24"/>
          <w:szCs w:val="24"/>
          <w:color w:val="auto"/>
        </w:rPr>
      </w:pPr>
    </w:p>
    <w:p>
      <w:pPr>
        <w:jc w:val="center"/>
        <w:ind w:right="680"/>
        <w:spacing w:after="0"/>
        <w:rPr>
          <w:sz w:val="20"/>
          <w:szCs w:val="20"/>
          <w:color w:val="auto"/>
        </w:rPr>
      </w:pPr>
      <w:r>
        <w:rPr>
          <w:rFonts w:ascii="Times New Roman" w:cs="Times New Roman" w:eastAsia="Times New Roman" w:hAnsi="Times New Roman"/>
          <w:sz w:val="17"/>
          <w:szCs w:val="17"/>
          <w:color w:val="auto"/>
        </w:rPr>
        <w:t>(Commission File Number)</w:t>
      </w:r>
    </w:p>
    <w:p>
      <w:pPr>
        <w:spacing w:after="0" w:line="20" w:lineRule="exact"/>
        <w:rPr>
          <w:sz w:val="24"/>
          <w:szCs w:val="24"/>
          <w:color w:val="auto"/>
        </w:rPr>
      </w:pPr>
      <w:r>
        <w:rPr>
          <w:sz w:val="24"/>
          <w:szCs w:val="24"/>
          <w:color w:val="auto"/>
        </w:rPr>
        <w:br w:type="column"/>
      </w:r>
    </w:p>
    <w:p>
      <w:pPr>
        <w:spacing w:after="0" w:line="183" w:lineRule="exact"/>
        <w:rPr>
          <w:sz w:val="24"/>
          <w:szCs w:val="24"/>
          <w:color w:val="auto"/>
        </w:rPr>
      </w:pPr>
    </w:p>
    <w:p>
      <w:pPr>
        <w:jc w:val="center"/>
        <w:ind w:right="580"/>
        <w:spacing w:after="0"/>
        <w:rPr>
          <w:sz w:val="20"/>
          <w:szCs w:val="20"/>
          <w:color w:val="auto"/>
        </w:rPr>
      </w:pPr>
      <w:r>
        <w:rPr>
          <w:rFonts w:ascii="Times New Roman" w:cs="Times New Roman" w:eastAsia="Times New Roman" w:hAnsi="Times New Roman"/>
          <w:sz w:val="18"/>
          <w:szCs w:val="18"/>
          <w:b w:val="1"/>
          <w:bCs w:val="1"/>
          <w:color w:val="auto"/>
        </w:rPr>
        <w:t>82-2318545</w:t>
      </w:r>
    </w:p>
    <w:p>
      <w:pPr>
        <w:spacing w:after="0" w:line="31" w:lineRule="exact"/>
        <w:rPr>
          <w:sz w:val="24"/>
          <w:szCs w:val="24"/>
          <w:color w:val="auto"/>
        </w:rPr>
      </w:pPr>
    </w:p>
    <w:p>
      <w:pPr>
        <w:jc w:val="center"/>
        <w:ind w:right="600"/>
        <w:spacing w:after="0"/>
        <w:rPr>
          <w:sz w:val="20"/>
          <w:szCs w:val="20"/>
          <w:color w:val="auto"/>
        </w:rPr>
      </w:pPr>
      <w:r>
        <w:rPr>
          <w:rFonts w:ascii="Times New Roman" w:cs="Times New Roman" w:eastAsia="Times New Roman" w:hAnsi="Times New Roman"/>
          <w:sz w:val="18"/>
          <w:szCs w:val="18"/>
          <w:color w:val="auto"/>
        </w:rPr>
        <w:t>(I.R.S. Employer Identification No.)</w:t>
      </w:r>
    </w:p>
    <w:p>
      <w:pPr>
        <w:spacing w:after="0" w:line="9" w:lineRule="exact"/>
        <w:rPr>
          <w:sz w:val="24"/>
          <w:szCs w:val="24"/>
          <w:color w:val="auto"/>
        </w:rPr>
      </w:pPr>
    </w:p>
    <w:p>
      <w:pPr>
        <w:sectPr>
          <w:pgSz w:w="11900" w:h="16838" w:orient="portrait"/>
          <w:cols w:equalWidth="0" w:num="3">
            <w:col w:w="3920" w:space="720"/>
            <w:col w:w="2660" w:space="720"/>
            <w:col w:w="3220"/>
          </w:cols>
          <w:pgMar w:left="320" w:top="225" w:right="339" w:bottom="1440" w:gutter="0" w:footer="0" w:header="0"/>
          <w:type w:val="continuous"/>
        </w:sectPr>
      </w:pPr>
    </w:p>
    <w:p>
      <w:pPr>
        <w:ind w:left="840"/>
        <w:spacing w:after="0"/>
        <w:rPr>
          <w:sz w:val="20"/>
          <w:szCs w:val="20"/>
          <w:color w:val="auto"/>
        </w:rPr>
      </w:pPr>
      <w:r>
        <w:rPr>
          <w:rFonts w:ascii="Times New Roman" w:cs="Times New Roman" w:eastAsia="Times New Roman" w:hAnsi="Times New Roman"/>
          <w:sz w:val="18"/>
          <w:szCs w:val="18"/>
          <w:color w:val="auto"/>
        </w:rPr>
        <w:t>incorporation or organization)</w:t>
      </w:r>
    </w:p>
    <w:p>
      <w:pPr>
        <w:spacing w:after="0" w:line="20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2100 West Loop South, Suite 900</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Houston, Texas 77027</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(Address of principal executive offices) (Zip Code)</w:t>
      </w:r>
    </w:p>
    <w:p>
      <w:pPr>
        <w:sectPr>
          <w:pgSz w:w="11900" w:h="16838" w:orient="portrait"/>
          <w:cols w:equalWidth="0" w:num="1">
            <w:col w:w="11240"/>
          </w:cols>
          <w:pgMar w:left="320" w:top="225" w:right="339" w:bottom="1440" w:gutter="0" w:footer="0" w:header="0"/>
          <w:type w:val="continuous"/>
        </w:sectPr>
      </w:pP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(800) 946-9185</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9" w:lineRule="exact"/>
        <w:rPr>
          <w:sz w:val="24"/>
          <w:szCs w:val="24"/>
          <w:color w:val="auto"/>
        </w:rPr>
      </w:pPr>
    </w:p>
    <w:p>
      <w:pPr>
        <w:ind w:left="4400"/>
        <w:spacing w:after="0"/>
        <w:rPr>
          <w:sz w:val="20"/>
          <w:szCs w:val="20"/>
          <w:color w:val="auto"/>
        </w:rPr>
      </w:pPr>
      <w:r>
        <w:rPr>
          <w:rFonts w:ascii="Times New Roman" w:cs="Times New Roman" w:eastAsia="Times New Roman" w:hAnsi="Times New Roman"/>
          <w:sz w:val="18"/>
          <w:szCs w:val="18"/>
          <w:color w:val="auto"/>
        </w:rPr>
        <w:t>___________________________</w:t>
      </w:r>
    </w:p>
    <w:p>
      <w:pPr>
        <w:spacing w:after="0" w:line="207" w:lineRule="exact"/>
        <w:rPr>
          <w:sz w:val="24"/>
          <w:szCs w:val="24"/>
          <w:color w:val="auto"/>
        </w:rPr>
      </w:pPr>
    </w:p>
    <w:p>
      <w:pPr>
        <w:ind w:firstLine="324"/>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w:t>
      </w:r>
      <w:r>
        <w:rPr>
          <w:rFonts w:ascii="Times New Roman" w:cs="Times New Roman" w:eastAsia="Times New Roman" w:hAnsi="Times New Roman"/>
          <w:sz w:val="18"/>
          <w:szCs w:val="18"/>
          <w:i w:val="1"/>
          <w:iCs w:val="1"/>
          <w:color w:val="auto"/>
        </w:rPr>
        <w:t>see</w:t>
      </w:r>
      <w:r>
        <w:rPr>
          <w:rFonts w:ascii="Times New Roman" w:cs="Times New Roman" w:eastAsia="Times New Roman" w:hAnsi="Times New Roman"/>
          <w:sz w:val="18"/>
          <w:szCs w:val="18"/>
          <w:color w:val="auto"/>
        </w:rPr>
        <w:t xml:space="preserve"> General Instruction A.2. below):</w:t>
      </w:r>
    </w:p>
    <w:p>
      <w:pPr>
        <w:spacing w:after="0" w:line="162" w:lineRule="exact"/>
        <w:rPr>
          <w:sz w:val="24"/>
          <w:szCs w:val="24"/>
          <w:color w:val="auto"/>
        </w:rPr>
      </w:pPr>
    </w:p>
    <w:p>
      <w:pPr>
        <w:ind w:left="840" w:hanging="378"/>
        <w:spacing w:after="0"/>
        <w:tabs>
          <w:tab w:leader="none" w:pos="8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840" w:hanging="378"/>
        <w:spacing w:after="0"/>
        <w:tabs>
          <w:tab w:leader="none" w:pos="8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840" w:hanging="378"/>
        <w:spacing w:after="0"/>
        <w:tabs>
          <w:tab w:leader="none" w:pos="8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840" w:hanging="378"/>
        <w:spacing w:after="0"/>
        <w:tabs>
          <w:tab w:leader="none" w:pos="8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25" w:lineRule="exact"/>
        <w:rPr>
          <w:sz w:val="24"/>
          <w:szCs w:val="24"/>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21" w:lineRule="exact"/>
        <w:rPr>
          <w:sz w:val="24"/>
          <w:szCs w:val="24"/>
          <w:color w:val="auto"/>
        </w:rPr>
      </w:pPr>
    </w:p>
    <w:p>
      <w:pPr>
        <w:ind w:left="8940"/>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66" w:lineRule="exact"/>
        <w:rPr>
          <w:sz w:val="24"/>
          <w:szCs w:val="24"/>
          <w:color w:val="auto"/>
        </w:rPr>
      </w:pPr>
    </w:p>
    <w:p>
      <w:pPr>
        <w:spacing w:after="0" w:line="239"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70"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223" w:lineRule="exact"/>
        <w:rPr>
          <w:sz w:val="24"/>
          <w:szCs w:val="24"/>
          <w:color w:val="auto"/>
        </w:rPr>
      </w:pPr>
    </w:p>
    <w:tbl>
      <w:tblPr>
        <w:tblLayout w:type="fixed"/>
        <w:tblInd w:w="10" w:type="dxa"/>
        <w:tblCellMar>
          <w:top w:w="0" w:type="dxa"/>
          <w:left w:w="0" w:type="dxa"/>
          <w:bottom w:w="0" w:type="dxa"/>
          <w:right w:w="0" w:type="dxa"/>
        </w:tblCellMar>
      </w:tblPr>
      <w:tr>
        <w:trPr>
          <w:trHeight w:val="230"/>
        </w:trPr>
        <w:tc>
          <w:tcPr>
            <w:tcW w:w="4520" w:type="dxa"/>
            <w:vAlign w:val="bottom"/>
            <w:tcBorders>
              <w:top w:val="single" w:sz="8" w:color="auto"/>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Title of each class</w:t>
            </w:r>
          </w:p>
        </w:tc>
        <w:tc>
          <w:tcPr>
            <w:tcW w:w="2240" w:type="dxa"/>
            <w:vAlign w:val="bottom"/>
            <w:tcBorders>
              <w:top w:val="single" w:sz="8" w:color="auto"/>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Trading Symbols(s)</w:t>
            </w:r>
          </w:p>
        </w:tc>
        <w:tc>
          <w:tcPr>
            <w:tcW w:w="4480" w:type="dxa"/>
            <w:vAlign w:val="bottom"/>
            <w:tcBorders>
              <w:top w:val="single" w:sz="8" w:color="auto"/>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Name of each exchange on which registered</w:t>
            </w:r>
          </w:p>
        </w:tc>
      </w:tr>
      <w:tr>
        <w:trPr>
          <w:trHeight w:val="209"/>
        </w:trPr>
        <w:tc>
          <w:tcPr>
            <w:tcW w:w="452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Common stock, par value $0.001 per share</w:t>
            </w:r>
          </w:p>
        </w:tc>
        <w:tc>
          <w:tcPr>
            <w:tcW w:w="224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CNSP</w:t>
            </w:r>
          </w:p>
        </w:tc>
        <w:tc>
          <w:tcPr>
            <w:tcW w:w="44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The NASDAQ Stock Market LLC</w:t>
            </w:r>
          </w:p>
        </w:tc>
      </w:tr>
      <w:tr>
        <w:trPr>
          <w:trHeight w:val="534"/>
        </w:trPr>
        <w:tc>
          <w:tcPr>
            <w:tcW w:w="4520" w:type="dxa"/>
            <w:vAlign w:val="bottom"/>
            <w:tcBorders>
              <w:bottom w:val="single" w:sz="8" w:color="auto"/>
            </w:tcBorders>
          </w:tcPr>
          <w:p>
            <w:pPr>
              <w:spacing w:after="0"/>
              <w:rPr>
                <w:sz w:val="24"/>
                <w:szCs w:val="24"/>
                <w:color w:val="auto"/>
              </w:rPr>
            </w:pPr>
          </w:p>
        </w:tc>
        <w:tc>
          <w:tcPr>
            <w:tcW w:w="2240" w:type="dxa"/>
            <w:vAlign w:val="bottom"/>
            <w:tcBorders>
              <w:bottom w:val="single" w:sz="8" w:color="auto"/>
            </w:tcBorders>
          </w:tcPr>
          <w:p>
            <w:pPr>
              <w:spacing w:after="0"/>
              <w:rPr>
                <w:sz w:val="24"/>
                <w:szCs w:val="24"/>
                <w:color w:val="auto"/>
              </w:rPr>
            </w:pPr>
          </w:p>
        </w:tc>
        <w:tc>
          <w:tcPr>
            <w:tcW w:w="44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5" w:right="339" w:bottom="1440" w:gutter="0" w:footer="0" w:header="0"/>
          <w:type w:val="continuous"/>
        </w:sectPr>
      </w:pPr>
    </w:p>
    <w:bookmarkStart w:id="1" w:name="page2"/>
    <w:bookmarkEnd w:id="1"/>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EXPLANATORY NOTE</w:t>
      </w:r>
    </w:p>
    <w:p>
      <w:pPr>
        <w:spacing w:after="0" w:line="229" w:lineRule="exact"/>
        <w:rPr>
          <w:sz w:val="20"/>
          <w:szCs w:val="20"/>
          <w:color w:val="auto"/>
        </w:rPr>
      </w:pPr>
    </w:p>
    <w:p>
      <w:pPr>
        <w:ind w:right="440" w:firstLine="648"/>
        <w:spacing w:after="0" w:line="282" w:lineRule="auto"/>
        <w:rPr>
          <w:sz w:val="20"/>
          <w:szCs w:val="20"/>
          <w:color w:val="auto"/>
        </w:rPr>
      </w:pPr>
      <w:r>
        <w:rPr>
          <w:rFonts w:ascii="Times New Roman" w:cs="Times New Roman" w:eastAsia="Times New Roman" w:hAnsi="Times New Roman"/>
          <w:sz w:val="18"/>
          <w:szCs w:val="18"/>
          <w:color w:val="212529"/>
        </w:rPr>
        <w:t xml:space="preserve">This Amendment No. 1 to Form 8-K (this “Amendment No. 1”) is being filed as an amendment to the Current Report on Form 8-K of </w:t>
      </w:r>
      <w:r>
        <w:rPr>
          <w:rFonts w:ascii="Times New Roman" w:cs="Times New Roman" w:eastAsia="Times New Roman" w:hAnsi="Times New Roman"/>
          <w:sz w:val="18"/>
          <w:szCs w:val="18"/>
          <w:color w:val="000000"/>
        </w:rPr>
        <w:t>CNS</w:t>
      </w:r>
      <w:r>
        <w:rPr>
          <w:rFonts w:ascii="Times New Roman" w:cs="Times New Roman" w:eastAsia="Times New Roman" w:hAnsi="Times New Roman"/>
          <w:sz w:val="18"/>
          <w:szCs w:val="18"/>
          <w:color w:val="212529"/>
        </w:rPr>
        <w:t xml:space="preserve"> </w:t>
      </w:r>
      <w:r>
        <w:rPr>
          <w:rFonts w:ascii="Times New Roman" w:cs="Times New Roman" w:eastAsia="Times New Roman" w:hAnsi="Times New Roman"/>
          <w:sz w:val="18"/>
          <w:szCs w:val="18"/>
          <w:color w:val="000000"/>
        </w:rPr>
        <w:t>Pharmaceuticals, Inc. (the “Company”)</w:t>
      </w:r>
      <w:r>
        <w:rPr>
          <w:rFonts w:ascii="Times New Roman" w:cs="Times New Roman" w:eastAsia="Times New Roman" w:hAnsi="Times New Roman"/>
          <w:sz w:val="18"/>
          <w:szCs w:val="18"/>
          <w:color w:val="212529"/>
        </w:rPr>
        <w:t>, filed with the U.S. Securities and Exchange Commission on June 14, 2024 (the “Original Filing”).</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212529"/>
        </w:rPr>
        <w:t>The sole purpose of this Amendment No. 1 is to file Exhibit 5.1, which was inadvertently omitted. Except for the foregoing, this Amendment No.</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212529"/>
        </w:rPr>
        <w:t>1 does not modify or update any other disclosure contained in the Original Filing.</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10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9.01.</w:t>
            </w:r>
          </w:p>
        </w:tc>
        <w:tc>
          <w:tcPr>
            <w:tcW w:w="8000" w:type="dxa"/>
            <w:vAlign w:val="bottom"/>
            <w:gridSpan w:val="8"/>
          </w:tcPr>
          <w:p>
            <w:pPr>
              <w:ind w:left="120"/>
              <w:spacing w:after="0"/>
              <w:rPr>
                <w:sz w:val="20"/>
                <w:szCs w:val="20"/>
                <w:color w:val="auto"/>
              </w:rPr>
            </w:pPr>
            <w:r>
              <w:rPr>
                <w:rFonts w:ascii="Times New Roman" w:cs="Times New Roman" w:eastAsia="Times New Roman" w:hAnsi="Times New Roman"/>
                <w:sz w:val="18"/>
                <w:szCs w:val="18"/>
                <w:b w:val="1"/>
                <w:bCs w:val="1"/>
                <w:color w:val="auto"/>
              </w:rPr>
              <w:t>Financial Statements and Exhibits</w:t>
            </w:r>
          </w:p>
        </w:tc>
      </w:tr>
      <w:tr>
        <w:trPr>
          <w:trHeight w:val="432"/>
        </w:trPr>
        <w:tc>
          <w:tcPr>
            <w:tcW w:w="10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(d) Exhibits</w:t>
            </w:r>
          </w:p>
        </w:tc>
        <w:tc>
          <w:tcPr>
            <w:tcW w:w="2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64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432"/>
        </w:trPr>
        <w:tc>
          <w:tcPr>
            <w:tcW w:w="10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Exhibit No.</w:t>
            </w:r>
          </w:p>
        </w:tc>
        <w:tc>
          <w:tcPr>
            <w:tcW w:w="220" w:type="dxa"/>
            <w:vAlign w:val="bottom"/>
          </w:tcPr>
          <w:p>
            <w:pPr>
              <w:spacing w:after="0"/>
              <w:rPr>
                <w:sz w:val="24"/>
                <w:szCs w:val="24"/>
                <w:color w:val="auto"/>
              </w:rPr>
            </w:pPr>
          </w:p>
        </w:tc>
        <w:tc>
          <w:tcPr>
            <w:tcW w:w="7780" w:type="dxa"/>
            <w:vAlign w:val="bottom"/>
            <w:gridSpan w:val="7"/>
          </w:tcPr>
          <w:p>
            <w:pPr>
              <w:ind w:left="20"/>
              <w:spacing w:after="0"/>
              <w:rPr>
                <w:sz w:val="20"/>
                <w:szCs w:val="20"/>
                <w:color w:val="auto"/>
              </w:rPr>
            </w:pPr>
            <w:r>
              <w:rPr>
                <w:rFonts w:ascii="Times New Roman" w:cs="Times New Roman" w:eastAsia="Times New Roman" w:hAnsi="Times New Roman"/>
                <w:sz w:val="18"/>
                <w:szCs w:val="18"/>
                <w:b w:val="1"/>
                <w:bCs w:val="1"/>
                <w:color w:val="auto"/>
              </w:rPr>
              <w:t>Exhibit Description</w:t>
            </w:r>
          </w:p>
        </w:tc>
      </w:tr>
      <w:tr>
        <w:trPr>
          <w:trHeight w:val="392"/>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4.1</w:t>
            </w:r>
          </w:p>
        </w:tc>
        <w:tc>
          <w:tcPr>
            <w:tcW w:w="220" w:type="dxa"/>
            <w:vAlign w:val="bottom"/>
          </w:tcPr>
          <w:p>
            <w:pPr>
              <w:spacing w:after="0"/>
              <w:rPr>
                <w:sz w:val="24"/>
                <w:szCs w:val="24"/>
                <w:color w:val="auto"/>
              </w:rPr>
            </w:pPr>
          </w:p>
        </w:tc>
        <w:tc>
          <w:tcPr>
            <w:tcW w:w="7780" w:type="dxa"/>
            <w:vAlign w:val="bottom"/>
            <w:gridSpan w:val="7"/>
          </w:tcPr>
          <w:p>
            <w:pPr>
              <w:ind w:left="20"/>
              <w:spacing w:after="0"/>
              <w:rPr>
                <w:rFonts w:ascii="Times New Roman" w:cs="Times New Roman" w:eastAsia="Times New Roman" w:hAnsi="Times New Roman"/>
                <w:sz w:val="18"/>
                <w:szCs w:val="18"/>
                <w:color w:val="0000EE"/>
              </w:rPr>
            </w:pPr>
            <w:hyperlink r:id="rId8">
              <w:r>
                <w:rPr>
                  <w:rFonts w:ascii="Times New Roman" w:cs="Times New Roman" w:eastAsia="Times New Roman" w:hAnsi="Times New Roman"/>
                  <w:sz w:val="18"/>
                  <w:szCs w:val="18"/>
                  <w:color w:val="0000EE"/>
                </w:rPr>
                <w:t xml:space="preserve">Form of Pre-Funded Warrant </w:t>
              </w:r>
            </w:hyperlink>
            <w:r>
              <w:rPr>
                <w:rFonts w:ascii="Times New Roman" w:cs="Times New Roman" w:eastAsia="Times New Roman" w:hAnsi="Times New Roman"/>
                <w:sz w:val="18"/>
                <w:szCs w:val="18"/>
                <w:color w:val="000000"/>
              </w:rPr>
              <w:t>(1)</w:t>
            </w:r>
          </w:p>
        </w:tc>
      </w:tr>
      <w:tr>
        <w:trPr>
          <w:trHeight w:val="20"/>
        </w:trPr>
        <w:tc>
          <w:tcPr>
            <w:tcW w:w="10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9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r>
      <w:tr>
        <w:trPr>
          <w:trHeight w:val="196"/>
        </w:trPr>
        <w:tc>
          <w:tcPr>
            <w:tcW w:w="10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4.2</w:t>
            </w:r>
          </w:p>
        </w:tc>
        <w:tc>
          <w:tcPr>
            <w:tcW w:w="220" w:type="dxa"/>
            <w:vAlign w:val="bottom"/>
          </w:tcPr>
          <w:p>
            <w:pPr>
              <w:spacing w:after="0"/>
              <w:rPr>
                <w:sz w:val="17"/>
                <w:szCs w:val="17"/>
                <w:color w:val="auto"/>
              </w:rPr>
            </w:pPr>
          </w:p>
        </w:tc>
        <w:tc>
          <w:tcPr>
            <w:tcW w:w="7780" w:type="dxa"/>
            <w:vAlign w:val="bottom"/>
            <w:gridSpan w:val="7"/>
          </w:tcPr>
          <w:p>
            <w:pPr>
              <w:ind w:left="20"/>
              <w:spacing w:after="0" w:line="196" w:lineRule="exact"/>
              <w:rPr>
                <w:rFonts w:ascii="Times New Roman" w:cs="Times New Roman" w:eastAsia="Times New Roman" w:hAnsi="Times New Roman"/>
                <w:sz w:val="18"/>
                <w:szCs w:val="18"/>
                <w:color w:val="0000EE"/>
              </w:rPr>
            </w:pPr>
            <w:hyperlink r:id="rId9">
              <w:r>
                <w:rPr>
                  <w:rFonts w:ascii="Times New Roman" w:cs="Times New Roman" w:eastAsia="Times New Roman" w:hAnsi="Times New Roman"/>
                  <w:sz w:val="18"/>
                  <w:szCs w:val="18"/>
                  <w:color w:val="0000EE"/>
                </w:rPr>
                <w:t xml:space="preserve">Form of Common Warrant </w:t>
              </w:r>
            </w:hyperlink>
            <w:r>
              <w:rPr>
                <w:rFonts w:ascii="Times New Roman" w:cs="Times New Roman" w:eastAsia="Times New Roman" w:hAnsi="Times New Roman"/>
                <w:sz w:val="18"/>
                <w:szCs w:val="18"/>
                <w:color w:val="000000"/>
              </w:rPr>
              <w:t>(1)</w:t>
            </w:r>
          </w:p>
        </w:tc>
      </w:tr>
      <w:tr>
        <w:trPr>
          <w:trHeight w:val="20"/>
        </w:trPr>
        <w:tc>
          <w:tcPr>
            <w:tcW w:w="10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920" w:type="dxa"/>
            <w:vAlign w:val="bottom"/>
            <w:shd w:val="clear" w:color="auto" w:fill="0000EE"/>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r>
      <w:tr>
        <w:trPr>
          <w:trHeight w:val="196"/>
        </w:trPr>
        <w:tc>
          <w:tcPr>
            <w:tcW w:w="10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5.1</w:t>
            </w:r>
          </w:p>
        </w:tc>
        <w:tc>
          <w:tcPr>
            <w:tcW w:w="220" w:type="dxa"/>
            <w:vAlign w:val="bottom"/>
          </w:tcPr>
          <w:p>
            <w:pPr>
              <w:spacing w:after="0"/>
              <w:rPr>
                <w:sz w:val="17"/>
                <w:szCs w:val="17"/>
                <w:color w:val="auto"/>
              </w:rPr>
            </w:pPr>
          </w:p>
        </w:tc>
        <w:tc>
          <w:tcPr>
            <w:tcW w:w="7780" w:type="dxa"/>
            <w:vAlign w:val="bottom"/>
            <w:gridSpan w:val="7"/>
          </w:tcPr>
          <w:p>
            <w:pPr>
              <w:ind w:left="20"/>
              <w:spacing w:after="0" w:line="196" w:lineRule="exact"/>
              <w:rPr>
                <w:sz w:val="20"/>
                <w:szCs w:val="20"/>
                <w:color w:val="auto"/>
              </w:rPr>
            </w:pPr>
            <w:r>
              <w:rPr>
                <w:rFonts w:ascii="Times New Roman" w:cs="Times New Roman" w:eastAsia="Times New Roman" w:hAnsi="Times New Roman"/>
                <w:sz w:val="18"/>
                <w:szCs w:val="18"/>
                <w:color w:val="0000EE"/>
              </w:rPr>
              <w:t>ArentFox Schiff LLP Legal Opinion</w:t>
            </w:r>
            <w:r>
              <w:rPr>
                <w:rFonts w:ascii="Times New Roman" w:cs="Times New Roman" w:eastAsia="Times New Roman" w:hAnsi="Times New Roman"/>
                <w:sz w:val="18"/>
                <w:szCs w:val="18"/>
                <w:color w:val="000000"/>
              </w:rPr>
              <w:t>*</w:t>
            </w:r>
          </w:p>
        </w:tc>
      </w:tr>
      <w:tr>
        <w:trPr>
          <w:trHeight w:val="20"/>
        </w:trPr>
        <w:tc>
          <w:tcPr>
            <w:tcW w:w="10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20" w:type="dxa"/>
            <w:vAlign w:val="bottom"/>
            <w:gridSpan w:val="3"/>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r>
      <w:tr>
        <w:trPr>
          <w:trHeight w:val="196"/>
        </w:trPr>
        <w:tc>
          <w:tcPr>
            <w:tcW w:w="10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10.1</w:t>
            </w:r>
          </w:p>
        </w:tc>
        <w:tc>
          <w:tcPr>
            <w:tcW w:w="220" w:type="dxa"/>
            <w:vAlign w:val="bottom"/>
          </w:tcPr>
          <w:p>
            <w:pPr>
              <w:spacing w:after="0"/>
              <w:rPr>
                <w:sz w:val="17"/>
                <w:szCs w:val="17"/>
                <w:color w:val="auto"/>
              </w:rPr>
            </w:pPr>
          </w:p>
        </w:tc>
        <w:tc>
          <w:tcPr>
            <w:tcW w:w="7780" w:type="dxa"/>
            <w:vAlign w:val="bottom"/>
            <w:gridSpan w:val="7"/>
          </w:tcPr>
          <w:p>
            <w:pPr>
              <w:ind w:left="20"/>
              <w:spacing w:after="0" w:line="196" w:lineRule="exact"/>
              <w:rPr>
                <w:rFonts w:ascii="Times New Roman" w:cs="Times New Roman" w:eastAsia="Times New Roman" w:hAnsi="Times New Roman"/>
                <w:sz w:val="18"/>
                <w:szCs w:val="18"/>
                <w:color w:val="0000EE"/>
              </w:rPr>
            </w:pPr>
            <w:hyperlink r:id="rId10">
              <w:r>
                <w:rPr>
                  <w:rFonts w:ascii="Times New Roman" w:cs="Times New Roman" w:eastAsia="Times New Roman" w:hAnsi="Times New Roman"/>
                  <w:sz w:val="18"/>
                  <w:szCs w:val="18"/>
                  <w:color w:val="0000EE"/>
                </w:rPr>
                <w:t xml:space="preserve">Form of Securities Purchase Agreement </w:t>
              </w:r>
            </w:hyperlink>
            <w:r>
              <w:rPr>
                <w:rFonts w:ascii="Times New Roman" w:cs="Times New Roman" w:eastAsia="Times New Roman" w:hAnsi="Times New Roman"/>
                <w:sz w:val="18"/>
                <w:szCs w:val="18"/>
                <w:color w:val="000000"/>
              </w:rPr>
              <w:t>(1)</w:t>
            </w:r>
          </w:p>
        </w:tc>
      </w:tr>
      <w:tr>
        <w:trPr>
          <w:trHeight w:val="20"/>
        </w:trPr>
        <w:tc>
          <w:tcPr>
            <w:tcW w:w="10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20" w:type="dxa"/>
            <w:vAlign w:val="bottom"/>
            <w:gridSpan w:val="3"/>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46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r>
      <w:tr>
        <w:trPr>
          <w:trHeight w:val="196"/>
        </w:trPr>
        <w:tc>
          <w:tcPr>
            <w:tcW w:w="10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10.2</w:t>
            </w:r>
          </w:p>
        </w:tc>
        <w:tc>
          <w:tcPr>
            <w:tcW w:w="220" w:type="dxa"/>
            <w:vAlign w:val="bottom"/>
          </w:tcPr>
          <w:p>
            <w:pPr>
              <w:spacing w:after="0"/>
              <w:rPr>
                <w:sz w:val="17"/>
                <w:szCs w:val="17"/>
                <w:color w:val="auto"/>
              </w:rPr>
            </w:pPr>
          </w:p>
        </w:tc>
        <w:tc>
          <w:tcPr>
            <w:tcW w:w="7780" w:type="dxa"/>
            <w:vAlign w:val="bottom"/>
            <w:gridSpan w:val="7"/>
          </w:tcPr>
          <w:p>
            <w:pPr>
              <w:ind w:left="20"/>
              <w:spacing w:after="0" w:line="196" w:lineRule="exact"/>
              <w:rPr>
                <w:rFonts w:ascii="Times New Roman" w:cs="Times New Roman" w:eastAsia="Times New Roman" w:hAnsi="Times New Roman"/>
                <w:sz w:val="18"/>
                <w:szCs w:val="18"/>
                <w:color w:val="0000EE"/>
                <w:w w:val="99"/>
              </w:rPr>
            </w:pPr>
            <w:hyperlink r:id="rId11">
              <w:r>
                <w:rPr>
                  <w:rFonts w:ascii="Times New Roman" w:cs="Times New Roman" w:eastAsia="Times New Roman" w:hAnsi="Times New Roman"/>
                  <w:sz w:val="18"/>
                  <w:szCs w:val="18"/>
                  <w:color w:val="0000EE"/>
                  <w:w w:val="99"/>
                </w:rPr>
                <w:t xml:space="preserve">Financial Advisory Agreement between CNS Pharmaceuticals, Inc. and A.G.P./Alliance Global Partners </w:t>
              </w:r>
            </w:hyperlink>
            <w:r>
              <w:rPr>
                <w:rFonts w:ascii="Times New Roman" w:cs="Times New Roman" w:eastAsia="Times New Roman" w:hAnsi="Times New Roman"/>
                <w:sz w:val="18"/>
                <w:szCs w:val="18"/>
                <w:color w:val="000000"/>
                <w:w w:val="99"/>
              </w:rPr>
              <w:t>(1)</w:t>
            </w:r>
          </w:p>
        </w:tc>
      </w:tr>
      <w:tr>
        <w:trPr>
          <w:trHeight w:val="196"/>
        </w:trPr>
        <w:tc>
          <w:tcPr>
            <w:tcW w:w="10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99.1</w:t>
            </w:r>
          </w:p>
        </w:tc>
        <w:tc>
          <w:tcPr>
            <w:tcW w:w="220" w:type="dxa"/>
            <w:vAlign w:val="bottom"/>
          </w:tcPr>
          <w:p>
            <w:pPr>
              <w:spacing w:after="0"/>
              <w:rPr>
                <w:sz w:val="17"/>
                <w:szCs w:val="17"/>
                <w:color w:val="auto"/>
              </w:rPr>
            </w:pPr>
          </w:p>
        </w:tc>
        <w:tc>
          <w:tcPr>
            <w:tcW w:w="7520" w:type="dxa"/>
            <w:vAlign w:val="bottom"/>
            <w:tcBorders>
              <w:top w:val="single" w:sz="8" w:color="0000EE"/>
            </w:tcBorders>
            <w:gridSpan w:val="6"/>
          </w:tcPr>
          <w:p>
            <w:pPr>
              <w:ind w:left="20"/>
              <w:spacing w:after="0" w:line="196" w:lineRule="exact"/>
              <w:rPr>
                <w:rFonts w:ascii="Times New Roman" w:cs="Times New Roman" w:eastAsia="Times New Roman" w:hAnsi="Times New Roman"/>
                <w:sz w:val="18"/>
                <w:szCs w:val="18"/>
                <w:color w:val="0000EE"/>
              </w:rPr>
            </w:pPr>
            <w:hyperlink r:id="rId12">
              <w:r>
                <w:rPr>
                  <w:rFonts w:ascii="Times New Roman" w:cs="Times New Roman" w:eastAsia="Times New Roman" w:hAnsi="Times New Roman"/>
                  <w:sz w:val="18"/>
                  <w:szCs w:val="18"/>
                  <w:color w:val="0000EE"/>
                </w:rPr>
                <w:t xml:space="preserve">Press release dated June 14, 2024 </w:t>
              </w:r>
            </w:hyperlink>
            <w:r>
              <w:rPr>
                <w:rFonts w:ascii="Times New Roman" w:cs="Times New Roman" w:eastAsia="Times New Roman" w:hAnsi="Times New Roman"/>
                <w:sz w:val="18"/>
                <w:szCs w:val="18"/>
                <w:color w:val="000000"/>
              </w:rPr>
              <w:t>(1)</w:t>
            </w:r>
          </w:p>
        </w:tc>
        <w:tc>
          <w:tcPr>
            <w:tcW w:w="260" w:type="dxa"/>
            <w:vAlign w:val="bottom"/>
          </w:tcPr>
          <w:p>
            <w:pPr>
              <w:spacing w:after="0"/>
              <w:rPr>
                <w:sz w:val="17"/>
                <w:szCs w:val="17"/>
                <w:color w:val="auto"/>
              </w:rPr>
            </w:pPr>
          </w:p>
        </w:tc>
      </w:tr>
      <w:tr>
        <w:trPr>
          <w:trHeight w:val="20"/>
        </w:trPr>
        <w:tc>
          <w:tcPr>
            <w:tcW w:w="10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20" w:type="dxa"/>
            <w:vAlign w:val="bottom"/>
            <w:gridSpan w:val="3"/>
            <w:shd w:val="clear" w:color="auto" w:fill="0000EE"/>
          </w:tcPr>
          <w:p>
            <w:pPr>
              <w:spacing w:after="0" w:line="20" w:lineRule="exact"/>
              <w:rPr>
                <w:sz w:val="1"/>
                <w:szCs w:val="1"/>
                <w:color w:val="auto"/>
              </w:rPr>
            </w:pPr>
          </w:p>
        </w:tc>
        <w:tc>
          <w:tcPr>
            <w:tcW w:w="5360" w:type="dxa"/>
            <w:vAlign w:val="bottom"/>
            <w:gridSpan w:val="4"/>
          </w:tcPr>
          <w:p>
            <w:pPr>
              <w:spacing w:after="0" w:line="20" w:lineRule="exact"/>
              <w:rPr>
                <w:sz w:val="1"/>
                <w:szCs w:val="1"/>
                <w:color w:val="auto"/>
              </w:rPr>
            </w:pPr>
          </w:p>
        </w:tc>
      </w:tr>
      <w:tr>
        <w:trPr>
          <w:trHeight w:val="23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104</w:t>
            </w:r>
          </w:p>
        </w:tc>
        <w:tc>
          <w:tcPr>
            <w:tcW w:w="220" w:type="dxa"/>
            <w:vAlign w:val="bottom"/>
          </w:tcPr>
          <w:p>
            <w:pPr>
              <w:spacing w:after="0"/>
              <w:rPr>
                <w:sz w:val="20"/>
                <w:szCs w:val="20"/>
                <w:color w:val="auto"/>
              </w:rPr>
            </w:pPr>
          </w:p>
        </w:tc>
        <w:tc>
          <w:tcPr>
            <w:tcW w:w="7780" w:type="dxa"/>
            <w:vAlign w:val="bottom"/>
            <w:gridSpan w:val="7"/>
          </w:tcPr>
          <w:p>
            <w:pPr>
              <w:ind w:left="20"/>
              <w:spacing w:after="0"/>
              <w:rPr>
                <w:sz w:val="20"/>
                <w:szCs w:val="20"/>
                <w:color w:val="auto"/>
              </w:rPr>
            </w:pPr>
            <w:r>
              <w:rPr>
                <w:rFonts w:ascii="Times New Roman" w:cs="Times New Roman" w:eastAsia="Times New Roman" w:hAnsi="Times New Roman"/>
                <w:sz w:val="18"/>
                <w:szCs w:val="18"/>
                <w:color w:val="auto"/>
              </w:rPr>
              <w:t>Cover page Interactive Data File (embedded within the Inline XBRL document)*</w:t>
            </w: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Notes:</w:t>
      </w:r>
    </w:p>
    <w:p>
      <w:pPr>
        <w:spacing w:after="0" w:line="36" w:lineRule="exact"/>
        <w:rPr>
          <w:sz w:val="20"/>
          <w:szCs w:val="20"/>
          <w:color w:val="auto"/>
        </w:rPr>
      </w:pPr>
    </w:p>
    <w:p>
      <w:pPr>
        <w:ind w:left="720" w:hanging="685"/>
        <w:spacing w:after="0"/>
        <w:tabs>
          <w:tab w:leader="none" w:pos="72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Filed herewith.</w:t>
      </w:r>
    </w:p>
    <w:p>
      <w:pPr>
        <w:spacing w:after="0" w:line="36" w:lineRule="exact"/>
        <w:rPr>
          <w:sz w:val="20"/>
          <w:szCs w:val="20"/>
          <w:color w:val="auto"/>
        </w:rPr>
      </w:pPr>
    </w:p>
    <w:p>
      <w:pPr>
        <w:ind w:left="720" w:hanging="685"/>
        <w:spacing w:after="0"/>
        <w:tabs>
          <w:tab w:leader="none" w:pos="7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Previously filed as an exhibit to our Current Report on Form 8-K filed with the SEC on </w:t>
      </w:r>
      <w:r>
        <w:rPr>
          <w:rFonts w:ascii="Times New Roman" w:cs="Times New Roman" w:eastAsia="Times New Roman" w:hAnsi="Times New Roman"/>
          <w:sz w:val="18"/>
          <w:szCs w:val="18"/>
          <w:color w:val="212529"/>
        </w:rPr>
        <w:t>June 14, 2024</w:t>
      </w:r>
      <w:r>
        <w:rPr>
          <w:rFonts w:ascii="Times New Roman" w:cs="Times New Roman" w:eastAsia="Times New Roman" w:hAnsi="Times New Roman"/>
          <w:sz w:val="18"/>
          <w:szCs w:val="18"/>
          <w:color w:val="auto"/>
        </w:rPr>
        <w:t>.</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92" w:lineRule="exact"/>
        <w:rPr>
          <w:rFonts w:ascii="Times New Roman" w:cs="Times New Roman" w:eastAsia="Times New Roman" w:hAnsi="Times New Roman"/>
          <w:sz w:val="18"/>
          <w:szCs w:val="18"/>
          <w:color w:val="auto"/>
        </w:rPr>
      </w:pPr>
    </w:p>
    <w:p>
      <w:pPr>
        <w:ind w:left="55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40"/>
          </w:cols>
          <w:pgMar w:left="320" w:top="792" w:right="4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29" w:lineRule="exact"/>
        <w:rPr>
          <w:sz w:val="20"/>
          <w:szCs w:val="20"/>
          <w:color w:val="auto"/>
        </w:rPr>
      </w:pPr>
    </w:p>
    <w:p>
      <w:pPr>
        <w:ind w:firstLine="486"/>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378"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CNS Pharmaceuticals, Inc.</w:t>
      </w:r>
    </w:p>
    <w:p>
      <w:pPr>
        <w:spacing w:after="0" w:line="200" w:lineRule="exact"/>
        <w:rPr>
          <w:sz w:val="20"/>
          <w:szCs w:val="20"/>
          <w:color w:val="auto"/>
        </w:rPr>
      </w:pPr>
    </w:p>
    <w:p>
      <w:pPr>
        <w:spacing w:after="0" w:line="241"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By: /s/ Chris Downs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-7620</wp:posOffset>
            </wp:positionV>
            <wp:extent cx="142176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extLst>
                    </a:blip>
                    <a:srcRect/>
                    <a:stretch>
                      <a:fillRect/>
                    </a:stretch>
                  </pic:blipFill>
                  <pic:spPr bwMode="auto">
                    <a:xfrm>
                      <a:off x="0" y="0"/>
                      <a:ext cx="1421765" cy="8255"/>
                    </a:xfrm>
                    <a:prstGeom prst="rect">
                      <a:avLst/>
                    </a:prstGeom>
                    <a:noFill/>
                  </pic:spPr>
                </pic:pic>
              </a:graphicData>
            </a:graphic>
          </wp:anchor>
        </w:drawing>
      </w:r>
    </w:p>
    <w:p>
      <w:pPr>
        <w:spacing w:after="0" w:line="7"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8"/>
          <w:szCs w:val="18"/>
          <w:color w:val="auto"/>
        </w:rPr>
        <w:t>Chris Downs</w:t>
      </w:r>
    </w:p>
    <w:p>
      <w:pPr>
        <w:spacing w:after="0" w:line="9"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June 20, 2024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22"/>
          <w:szCs w:val="22"/>
          <w:b w:val="1"/>
          <w:bCs w:val="1"/>
          <w:color w:val="auto"/>
        </w:rPr>
        <w:t>Exhibit 5.1</w:t>
      </w:r>
    </w:p>
    <w:p>
      <w:pPr>
        <w:spacing w:after="0" w:line="240" w:lineRule="exact"/>
        <w:rPr>
          <w:sz w:val="20"/>
          <w:szCs w:val="20"/>
          <w:color w:val="auto"/>
        </w:rPr>
      </w:pPr>
    </w:p>
    <w:p>
      <w:pPr>
        <w:ind w:left="8660"/>
        <w:spacing w:after="0"/>
        <w:rPr>
          <w:sz w:val="20"/>
          <w:szCs w:val="20"/>
          <w:color w:val="auto"/>
        </w:rPr>
      </w:pPr>
      <w:r>
        <w:rPr>
          <w:rFonts w:ascii="Times New Roman" w:cs="Times New Roman" w:eastAsia="Times New Roman" w:hAnsi="Times New Roman"/>
          <w:sz w:val="14"/>
          <w:szCs w:val="14"/>
          <w:b w:val="1"/>
          <w:bCs w:val="1"/>
          <w:color w:val="033643"/>
        </w:rPr>
        <w:t>ArentFox Schiff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1414145" cy="600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extLst>
                    </a:blip>
                    <a:srcRect/>
                    <a:stretch>
                      <a:fillRect/>
                    </a:stretch>
                  </pic:blipFill>
                  <pic:spPr bwMode="auto">
                    <a:xfrm>
                      <a:off x="0" y="0"/>
                      <a:ext cx="1414145" cy="600075"/>
                    </a:xfrm>
                    <a:prstGeom prst="rect">
                      <a:avLst/>
                    </a:prstGeom>
                    <a:noFill/>
                  </pic:spPr>
                </pic:pic>
              </a:graphicData>
            </a:graphic>
          </wp:anchor>
        </w:drawing>
      </w:r>
    </w:p>
    <w:p>
      <w:pPr>
        <w:ind w:left="8660"/>
        <w:spacing w:after="0" w:line="229" w:lineRule="auto"/>
        <w:rPr>
          <w:sz w:val="20"/>
          <w:szCs w:val="20"/>
          <w:color w:val="auto"/>
        </w:rPr>
      </w:pPr>
      <w:r>
        <w:rPr>
          <w:rFonts w:ascii="Times New Roman" w:cs="Times New Roman" w:eastAsia="Times New Roman" w:hAnsi="Times New Roman"/>
          <w:sz w:val="14"/>
          <w:szCs w:val="14"/>
          <w:color w:val="4D4D4F"/>
        </w:rPr>
        <w:t>1717 K Street, NW</w:t>
      </w:r>
    </w:p>
    <w:p>
      <w:pPr>
        <w:ind w:left="8660"/>
        <w:spacing w:after="0"/>
        <w:rPr>
          <w:sz w:val="20"/>
          <w:szCs w:val="20"/>
          <w:color w:val="auto"/>
        </w:rPr>
      </w:pPr>
      <w:r>
        <w:rPr>
          <w:rFonts w:ascii="Times New Roman" w:cs="Times New Roman" w:eastAsia="Times New Roman" w:hAnsi="Times New Roman"/>
          <w:sz w:val="14"/>
          <w:szCs w:val="14"/>
          <w:color w:val="4D4D4F"/>
        </w:rPr>
        <w:t>Washington, DC 20006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5499735</wp:posOffset>
            </wp:positionH>
            <wp:positionV relativeFrom="paragraph">
              <wp:posOffset>90805</wp:posOffset>
            </wp:positionV>
            <wp:extent cx="163703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extLst>
                    </a:blip>
                    <a:srcRect/>
                    <a:stretch>
                      <a:fillRect/>
                    </a:stretch>
                  </pic:blipFill>
                  <pic:spPr bwMode="auto">
                    <a:xfrm>
                      <a:off x="0" y="0"/>
                      <a:ext cx="1637030" cy="8255"/>
                    </a:xfrm>
                    <a:prstGeom prst="rect">
                      <a:avLst/>
                    </a:prstGeom>
                    <a:noFill/>
                  </pic:spPr>
                </pic:pic>
              </a:graphicData>
            </a:graphic>
          </wp:anchor>
        </w:drawing>
      </w:r>
    </w:p>
    <w:p>
      <w:pPr>
        <w:spacing w:after="0" w:line="330" w:lineRule="exact"/>
        <w:rPr>
          <w:sz w:val="20"/>
          <w:szCs w:val="20"/>
          <w:color w:val="auto"/>
        </w:rPr>
      </w:pPr>
    </w:p>
    <w:p>
      <w:pPr>
        <w:ind w:left="8660"/>
        <w:spacing w:after="0"/>
        <w:tabs>
          <w:tab w:leader="none" w:pos="9940" w:val="left"/>
        </w:tabs>
        <w:rPr>
          <w:sz w:val="20"/>
          <w:szCs w:val="20"/>
          <w:color w:val="auto"/>
        </w:rPr>
      </w:pPr>
      <w:r>
        <w:rPr>
          <w:rFonts w:ascii="Times New Roman" w:cs="Times New Roman" w:eastAsia="Times New Roman" w:hAnsi="Times New Roman"/>
          <w:sz w:val="14"/>
          <w:szCs w:val="14"/>
          <w:color w:val="4D4D4F"/>
        </w:rPr>
        <w:t>202.857.6000</w:t>
      </w:r>
      <w:r>
        <w:rPr>
          <w:sz w:val="20"/>
          <w:szCs w:val="20"/>
          <w:color w:val="auto"/>
        </w:rPr>
        <w:tab/>
      </w:r>
      <w:r>
        <w:rPr>
          <w:rFonts w:ascii="Times New Roman" w:cs="Times New Roman" w:eastAsia="Times New Roman" w:hAnsi="Times New Roman"/>
          <w:sz w:val="9"/>
          <w:szCs w:val="9"/>
          <w:b w:val="1"/>
          <w:bCs w:val="1"/>
          <w:color w:val="033643"/>
        </w:rPr>
        <w:t>main</w:t>
      </w:r>
    </w:p>
    <w:p>
      <w:pPr>
        <w:spacing w:after="0" w:line="4" w:lineRule="exact"/>
        <w:rPr>
          <w:sz w:val="20"/>
          <w:szCs w:val="20"/>
          <w:color w:val="auto"/>
        </w:rPr>
      </w:pPr>
    </w:p>
    <w:p>
      <w:pPr>
        <w:ind w:left="8660"/>
        <w:spacing w:after="0"/>
        <w:tabs>
          <w:tab w:leader="none" w:pos="9940" w:val="left"/>
        </w:tabs>
        <w:rPr>
          <w:sz w:val="20"/>
          <w:szCs w:val="20"/>
          <w:color w:val="auto"/>
        </w:rPr>
      </w:pPr>
      <w:r>
        <w:rPr>
          <w:rFonts w:ascii="Times New Roman" w:cs="Times New Roman" w:eastAsia="Times New Roman" w:hAnsi="Times New Roman"/>
          <w:sz w:val="14"/>
          <w:szCs w:val="14"/>
          <w:color w:val="4D4D4F"/>
        </w:rPr>
        <w:t>202.857.6395</w:t>
      </w:r>
      <w:r>
        <w:rPr>
          <w:sz w:val="20"/>
          <w:szCs w:val="20"/>
          <w:color w:val="auto"/>
        </w:rPr>
        <w:tab/>
      </w:r>
      <w:r>
        <w:rPr>
          <w:rFonts w:ascii="Times New Roman" w:cs="Times New Roman" w:eastAsia="Times New Roman" w:hAnsi="Times New Roman"/>
          <w:sz w:val="9"/>
          <w:szCs w:val="9"/>
          <w:b w:val="1"/>
          <w:bCs w:val="1"/>
          <w:color w:val="033643"/>
        </w:rPr>
        <w:t>fax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5499735</wp:posOffset>
            </wp:positionH>
            <wp:positionV relativeFrom="paragraph">
              <wp:posOffset>90805</wp:posOffset>
            </wp:positionV>
            <wp:extent cx="16370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extLst>
                    </a:blip>
                    <a:srcRect/>
                    <a:stretch>
                      <a:fillRect/>
                    </a:stretch>
                  </pic:blipFill>
                  <pic:spPr bwMode="auto">
                    <a:xfrm>
                      <a:off x="0" y="0"/>
                      <a:ext cx="1637030" cy="8255"/>
                    </a:xfrm>
                    <a:prstGeom prst="rect">
                      <a:avLst/>
                    </a:prstGeom>
                    <a:noFill/>
                  </pic:spPr>
                </pic:pic>
              </a:graphicData>
            </a:graphic>
          </wp:anchor>
        </w:drawing>
      </w:r>
    </w:p>
    <w:p>
      <w:pPr>
        <w:spacing w:after="0" w:line="330" w:lineRule="exact"/>
        <w:rPr>
          <w:sz w:val="20"/>
          <w:szCs w:val="20"/>
          <w:color w:val="auto"/>
        </w:rPr>
      </w:pPr>
    </w:p>
    <w:p>
      <w:pPr>
        <w:ind w:left="8660"/>
        <w:spacing w:after="0"/>
        <w:rPr>
          <w:sz w:val="20"/>
          <w:szCs w:val="20"/>
          <w:color w:val="auto"/>
        </w:rPr>
      </w:pPr>
      <w:r>
        <w:rPr>
          <w:rFonts w:ascii="Times New Roman" w:cs="Times New Roman" w:eastAsia="Times New Roman" w:hAnsi="Times New Roman"/>
          <w:sz w:val="14"/>
          <w:szCs w:val="14"/>
          <w:color w:val="FF0000"/>
        </w:rPr>
        <w:t>afslaw.com</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June 14, 2024</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CNS Pharmaceuticals,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2100 West Loop South, Suite 900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Houston, Texas 77027</w:t>
      </w:r>
    </w:p>
    <w:p>
      <w:pPr>
        <w:spacing w:after="0" w:line="207" w:lineRule="exact"/>
        <w:rPr>
          <w:sz w:val="20"/>
          <w:szCs w:val="20"/>
          <w:color w:val="auto"/>
        </w:rPr>
      </w:pPr>
    </w:p>
    <w:p>
      <w:pPr>
        <w:spacing w:after="0"/>
        <w:tabs>
          <w:tab w:leader="none" w:pos="640" w:val="left"/>
        </w:tabs>
        <w:rPr>
          <w:sz w:val="20"/>
          <w:szCs w:val="20"/>
          <w:color w:val="auto"/>
        </w:rPr>
      </w:pPr>
      <w:r>
        <w:rPr>
          <w:rFonts w:ascii="Times New Roman" w:cs="Times New Roman" w:eastAsia="Times New Roman" w:hAnsi="Times New Roman"/>
          <w:sz w:val="18"/>
          <w:szCs w:val="18"/>
          <w:color w:val="auto"/>
        </w:rPr>
        <w:t>Re:</w:t>
      </w:r>
      <w:r>
        <w:rPr>
          <w:sz w:val="20"/>
          <w:szCs w:val="20"/>
          <w:color w:val="auto"/>
        </w:rPr>
        <w:tab/>
      </w:r>
      <w:r>
        <w:rPr>
          <w:rFonts w:ascii="Times New Roman" w:cs="Times New Roman" w:eastAsia="Times New Roman" w:hAnsi="Times New Roman"/>
          <w:sz w:val="18"/>
          <w:szCs w:val="18"/>
          <w:color w:val="auto"/>
        </w:rPr>
        <w:t>Registration Statement on Form S-3</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have acted as counsel to CNS Pharmaceuticals, Inc., a Nevada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in connection with the Registration Statement on Form S-3, Registration No. 333-279285 (as amended, the “</w:t>
      </w:r>
      <w:r>
        <w:rPr>
          <w:rFonts w:ascii="Times New Roman" w:cs="Times New Roman" w:eastAsia="Times New Roman" w:hAnsi="Times New Roman"/>
          <w:sz w:val="18"/>
          <w:szCs w:val="18"/>
          <w:u w:val="single" w:color="auto"/>
          <w:color w:val="auto"/>
        </w:rPr>
        <w:t>Registration Statement</w:t>
      </w:r>
      <w:r>
        <w:rPr>
          <w:rFonts w:ascii="Times New Roman" w:cs="Times New Roman" w:eastAsia="Times New Roman" w:hAnsi="Times New Roman"/>
          <w:sz w:val="18"/>
          <w:szCs w:val="18"/>
          <w:color w:val="auto"/>
        </w:rPr>
        <w:t>”), filed by the Company with the Securities and Exchange Commission (the “</w:t>
      </w:r>
      <w:r>
        <w:rPr>
          <w:rFonts w:ascii="Times New Roman" w:cs="Times New Roman" w:eastAsia="Times New Roman" w:hAnsi="Times New Roman"/>
          <w:sz w:val="18"/>
          <w:szCs w:val="18"/>
          <w:u w:val="single" w:color="auto"/>
          <w:color w:val="auto"/>
        </w:rPr>
        <w:t>Commission</w:t>
      </w:r>
      <w:r>
        <w:rPr>
          <w:rFonts w:ascii="Times New Roman" w:cs="Times New Roman" w:eastAsia="Times New Roman" w:hAnsi="Times New Roman"/>
          <w:sz w:val="18"/>
          <w:szCs w:val="18"/>
          <w:color w:val="auto"/>
        </w:rPr>
        <w:t>”) under the Securities Act of 1933, as amended (the “</w:t>
      </w:r>
      <w:r>
        <w:rPr>
          <w:rFonts w:ascii="Times New Roman" w:cs="Times New Roman" w:eastAsia="Times New Roman" w:hAnsi="Times New Roman"/>
          <w:sz w:val="18"/>
          <w:szCs w:val="18"/>
          <w:u w:val="single" w:color="auto"/>
          <w:color w:val="auto"/>
        </w:rPr>
        <w:t>Securities Act</w:t>
      </w:r>
      <w:r>
        <w:rPr>
          <w:rFonts w:ascii="Times New Roman" w:cs="Times New Roman" w:eastAsia="Times New Roman" w:hAnsi="Times New Roman"/>
          <w:sz w:val="18"/>
          <w:szCs w:val="18"/>
          <w:color w:val="auto"/>
        </w:rPr>
        <w:t>”) and the related prospectus supplement contained therein (the “</w:t>
      </w:r>
      <w:r>
        <w:rPr>
          <w:rFonts w:ascii="Times New Roman" w:cs="Times New Roman" w:eastAsia="Times New Roman" w:hAnsi="Times New Roman"/>
          <w:sz w:val="18"/>
          <w:szCs w:val="18"/>
          <w:u w:val="single" w:color="auto"/>
          <w:color w:val="auto"/>
        </w:rPr>
        <w:t>Prospectus</w:t>
      </w:r>
      <w:r>
        <w:rPr>
          <w:rFonts w:ascii="Times New Roman" w:cs="Times New Roman" w:eastAsia="Times New Roman" w:hAnsi="Times New Roman"/>
          <w:sz w:val="18"/>
          <w:szCs w:val="18"/>
          <w:color w:val="auto"/>
        </w:rPr>
        <w:t>”). The Registration Statement, which was declared effective on May 17, 2024, relates to the issuance and sale from time to time, pursuant to Rule 415 of the rules and regulations promulgated under the Securities Act, of, among other securities, (i) shares of the Company’s common stock, par value $0.001 per share (the “</w:t>
      </w:r>
      <w:r>
        <w:rPr>
          <w:rFonts w:ascii="Times New Roman" w:cs="Times New Roman" w:eastAsia="Times New Roman" w:hAnsi="Times New Roman"/>
          <w:sz w:val="18"/>
          <w:szCs w:val="18"/>
          <w:u w:val="single" w:color="auto"/>
          <w:color w:val="auto"/>
        </w:rPr>
        <w:t>Common Stock</w:t>
      </w:r>
      <w:r>
        <w:rPr>
          <w:rFonts w:ascii="Times New Roman" w:cs="Times New Roman" w:eastAsia="Times New Roman" w:hAnsi="Times New Roman"/>
          <w:sz w:val="18"/>
          <w:szCs w:val="18"/>
          <w:color w:val="auto"/>
        </w:rPr>
        <w:t>”), and (ii) warrants to purchase Common Stock. We have also acted as counsel to the Company in connection with the issuance, offer and sale of up to an aggregate of: (i) 336,000 shares (the “Shares”) of Common Stock, and (ii) pre-funded warrants (the “Pre-Funded Warrants”) to purchase up to 30,000 shares of Common Stock underlying the Pre-Funded Warrants, the “Warrant Shares”). The Shares and the Pre-Funded Warrants are collectively referred to herein as the “Securities.” The Securities are being sold pursuant to a securities purchase agreement by and among the Company and certain investors (the “Securities Purchase Agreement”). This opinion letter is being delivered in accordance with the requirements of Item 601(b)(5) of Regulations S-K under the Securities Act.</w:t>
      </w:r>
    </w:p>
    <w:p>
      <w:pPr>
        <w:spacing w:after="0" w:line="192"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In connection with our opinion, we have examined the Registration Statement, including the exhibits thereto, the Securities Purchase Agreement, the form of Pre-Funded Warrants and such other documents, corporate records and instruments, and have examined such laws and regulations, as we have deemed necessary for the purposes of this opinion. In making our examination, we have assumed the genuineness of all signatures, the authenticity of all documents submitted to us as originals, the conformity with the originals of all documents submitted to us as copies and the legal capacity of all natural persons. As to matters of fact material to our opinions in this letter, we have relied on certificates and statements from officers and other employees of the Company, public officials and other appropriate persons.</w:t>
      </w:r>
    </w:p>
    <w:p>
      <w:pPr>
        <w:spacing w:after="0" w:line="18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Based on the foregoing and subject to the qualifications set forth below, we are of the opinion that:</w:t>
      </w:r>
    </w:p>
    <w:p>
      <w:pPr>
        <w:spacing w:after="0" w:line="225" w:lineRule="exact"/>
        <w:rPr>
          <w:sz w:val="20"/>
          <w:szCs w:val="20"/>
          <w:color w:val="auto"/>
        </w:rPr>
      </w:pPr>
    </w:p>
    <w:p>
      <w:pPr>
        <w:ind w:right="20" w:firstLine="656"/>
        <w:spacing w:after="0" w:line="282" w:lineRule="auto"/>
        <w:tabs>
          <w:tab w:leader="none" w:pos="1296"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Shares, when issued by the Company against payment therefor in the circumstances contemplated by the Prospectus, will have been duly authorized for issuance by all necessary corporate action by the Company, and will be validly issued, fully paid and non-assessable;</w:t>
      </w:r>
    </w:p>
    <w:p>
      <w:pPr>
        <w:spacing w:after="0" w:line="161"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Pre-Funded Warrants when issued by the Company against payment therefor in the circumstances contemplated by the Prospectus, will have been duly authorized by all necessary corporate action of the Company and will constitute a valid and binding agreement of the Company enforceable against the Company in accordance with its terms; and</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4" w:name="page5"/>
    <w:bookmarkEnd w:id="4"/>
    <w:p>
      <w:pPr>
        <w:jc w:val="right"/>
        <w:spacing w:after="0"/>
        <w:rPr>
          <w:sz w:val="20"/>
          <w:szCs w:val="20"/>
          <w:color w:val="auto"/>
        </w:rPr>
      </w:pPr>
      <w:r>
        <w:rPr>
          <w:rFonts w:ascii="Times New Roman" w:cs="Times New Roman" w:eastAsia="Times New Roman" w:hAnsi="Times New Roman"/>
          <w:sz w:val="16"/>
          <w:szCs w:val="16"/>
          <w:color w:val="auto"/>
        </w:rPr>
        <w:t>CNS Pharmaceuticals,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-107315</wp:posOffset>
            </wp:positionV>
            <wp:extent cx="1414145" cy="6000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extLst>
                    </a:blip>
                    <a:srcRect/>
                    <a:stretch>
                      <a:fillRect/>
                    </a:stretch>
                  </pic:blipFill>
                  <pic:spPr bwMode="auto">
                    <a:xfrm>
                      <a:off x="0" y="0"/>
                      <a:ext cx="1414145" cy="600075"/>
                    </a:xfrm>
                    <a:prstGeom prst="rect">
                      <a:avLst/>
                    </a:prstGeom>
                    <a:noFill/>
                  </pic:spPr>
                </pic:pic>
              </a:graphicData>
            </a:graphic>
          </wp:anchor>
        </w:drawing>
      </w:r>
    </w:p>
    <w:p>
      <w:pPr>
        <w:spacing w:after="0" w:line="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6"/>
          <w:szCs w:val="16"/>
          <w:color w:val="auto"/>
        </w:rPr>
        <w:t>June 14, 2024</w:t>
      </w:r>
    </w:p>
    <w:p>
      <w:pPr>
        <w:spacing w:after="0" w:line="1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6"/>
          <w:szCs w:val="16"/>
          <w:color w:val="auto"/>
        </w:rPr>
        <w:t>Page 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both"/>
        <w:ind w:firstLine="656"/>
        <w:spacing w:after="0" w:line="266" w:lineRule="auto"/>
        <w:tabs>
          <w:tab w:leader="none" w:pos="1296"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Warrant Shares initially issuable upon exercise of the Pre-Funded Warrants when issued by the Company against payment therefor (not less than par value) in the circumstances contemplated by the Pre-Funded Warrants will have been duly authorized by all necessary corporate action of the Company, and will be validly issued, fully paid and non-assessable.</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opinions set forth above are subject to the following qualifications:</w:t>
      </w:r>
    </w:p>
    <w:p>
      <w:pPr>
        <w:spacing w:after="0" w:line="225" w:lineRule="exact"/>
        <w:rPr>
          <w:sz w:val="20"/>
          <w:szCs w:val="20"/>
          <w:color w:val="auto"/>
        </w:rPr>
      </w:pPr>
    </w:p>
    <w:p>
      <w:pPr>
        <w:jc w:val="both"/>
        <w:ind w:firstLine="656"/>
        <w:spacing w:after="0" w:line="258" w:lineRule="auto"/>
        <w:tabs>
          <w:tab w:leader="none" w:pos="1296"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opinion expressed herein with respect to the legality, validity, binding nature and enforceability of the Pre-Funded Warrants is subject to (i) applicable laws relating to bankruptcy, insolvency, reorganization, moratorium, fraudulent transfer or other similar laws affecting creditors’ rights generally, whether now or hereafter in effect and (ii) general principles of equity, including, without limitation, concepts of materiality, laches, reasonableness, good faith and fair dealing and the principles regarding when injunctive or other equitable remedies will be available (regardless of whether considered in a proceeding at law or in equity).</w:t>
      </w:r>
    </w:p>
    <w:p>
      <w:pPr>
        <w:spacing w:after="0" w:line="183"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foregoing opinions are limited to the Chapter 78 of the Nevada Revised Statutes and the State of New York, and we express no opinion as to the laws of any other jurisdiction.</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opinions expressed in this opinion letter are as of the date of this opinion letter only and as to laws covered hereby only as they are in effect on that date, and we assume no obligation to update or supplement such opinion to reflect any facts or circumstances that may come to our attention after that date or any changes in law that may occur or become effective after that date. The opinions herein are limited to the matters expressly set forth in this opinion letter, and no opinion or representation is given or may be inferred beyond the opinions expressly set forth in this opinion letter.</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hereby consent to the filing of this opinion as Exhibit 5.1 to the Current Report on Form 8-K of the Company originally filed June 14, 2024, and to the reference to us under the caption “Legal Matters” in the Prospectus with respect to the Securities and under the caption “Legal Matters” in the Prospectus contained in the Registration Statement. In giving this consent, we do not thereby admit that we are within the category of persons whose consent is required under Section 7 of the Securities Act or the rules and regulations of the Commission promulgated thereunder.</w:t>
      </w:r>
    </w:p>
    <w:p>
      <w:pPr>
        <w:spacing w:after="0" w:line="180"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5"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8"/>
          <w:szCs w:val="18"/>
          <w:color w:val="auto"/>
        </w:rPr>
        <w:t>/s/ ArentFox Schiff, LLP</w:t>
      </w:r>
    </w:p>
    <w:p>
      <w:pPr>
        <w:spacing w:after="0" w:line="225"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8"/>
          <w:szCs w:val="18"/>
          <w:color w:val="auto"/>
        </w:rPr>
        <w:t>ArentFox Schiff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1594485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82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1)"/>
      <w:numFmt w:val="decimal"/>
      <w:start w:val="1"/>
    </w:lvl>
  </w:abstractNum>
  <w:abstractNum w:abstractNumId="3">
    <w:nsid w:val="46E87CCD"/>
    <w:multiLevelType w:val="hybridMultilevel"/>
    <w:lvl w:ilvl="0">
      <w:lvlJc w:val="left"/>
      <w:lvlText w:val="%1."/>
      <w:numFmt w:val="decimal"/>
      <w:start w:val="1"/>
    </w:lvl>
  </w:abstractNum>
  <w:abstractNum w:abstractNumId="4">
    <w:nsid w:val="3D1B58BA"/>
    <w:multiLevelType w:val="hybridMultilevel"/>
    <w:lvl w:ilvl="0">
      <w:lvlJc w:val="left"/>
      <w:lvlText w:val="%1."/>
      <w:numFmt w:val="decimal"/>
      <w:start w:val="3"/>
    </w:lvl>
  </w:abstractNum>
  <w:abstractNum w:abstractNumId="5">
    <w:nsid w:val="507ED7AB"/>
    <w:multiLevelType w:val="hybridMultilevel"/>
    <w:lvl w:ilvl="0">
      <w:lvlJc w:val="left"/>
      <w:lvlText w:val="%1."/>
      <w:numFmt w:val="upperLetter"/>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jpe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jpeg"/><Relationship Id="rId21" Type="http://schemas.openxmlformats.org/officeDocument/2006/relationships/image" Target="media/image9.png"/><Relationship Id="rId8" Type="http://schemas.openxmlformats.org/officeDocument/2006/relationships/hyperlink" Target="http://www.sec.gov/Archives/edgar/data/1729427/000168316824004253/cns_ex0401.htm" TargetMode="External"/><Relationship Id="rId9" Type="http://schemas.openxmlformats.org/officeDocument/2006/relationships/hyperlink" Target="http://www.sec.gov/Archives/edgar/data/1729427/000168316824004253/cns_ex0402.htm" TargetMode="External"/><Relationship Id="rId10" Type="http://schemas.openxmlformats.org/officeDocument/2006/relationships/hyperlink" Target="http://www.sec.gov/Archives/edgar/data/1729427/000168316824004253/cns_ex1001.htm" TargetMode="External"/><Relationship Id="rId11" Type="http://schemas.openxmlformats.org/officeDocument/2006/relationships/hyperlink" Target="http://www.sec.gov/Archives/edgar/data/1729427/000168316824004253/cns_ex1002.htm" TargetMode="External"/><Relationship Id="rId12" Type="http://schemas.openxmlformats.org/officeDocument/2006/relationships/hyperlink" Target="http://www.sec.gov/Archives/edgar/data/1729427/000168316824004253/cns_ex990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2024-06-20T16:05:28Z</dcterms:created>
  <dcterms:modified xsi:type="dcterms:W3CDTF">2024-06-20T16:05:28Z</dcterms:modified>
</cp:coreProperties>
</file>